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30" w:rsidRDefault="009C7130" w:rsidP="009C7130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Akcijsk</w:t>
      </w:r>
      <w:r w:rsidRPr="009C7130">
        <w:rPr>
          <w:b/>
          <w:sz w:val="28"/>
          <w:szCs w:val="28"/>
        </w:rPr>
        <w:t xml:space="preserve">i </w:t>
      </w:r>
      <w:r>
        <w:rPr>
          <w:b/>
          <w:sz w:val="28"/>
          <w:szCs w:val="28"/>
        </w:rPr>
        <w:t>plan za 2017. i 2018. godinu uz</w:t>
      </w:r>
    </w:p>
    <w:p w:rsidR="009C7130" w:rsidRDefault="009C7130" w:rsidP="009C7130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Strategiju suzbijanja korupcije za</w:t>
      </w:r>
    </w:p>
    <w:p w:rsidR="009C7130" w:rsidRDefault="009C7130" w:rsidP="009C7130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razdoblje od 2015. do 2020. godine</w:t>
      </w:r>
    </w:p>
    <w:p w:rsidR="009C7130" w:rsidRDefault="009C7130" w:rsidP="009C7130">
      <w:pPr>
        <w:rPr>
          <w:b/>
        </w:rPr>
      </w:pPr>
    </w:p>
    <w:p w:rsidR="009C7130" w:rsidRDefault="009C7130" w:rsidP="009C7130"/>
    <w:p w:rsidR="009C7130" w:rsidRDefault="009C7130" w:rsidP="009C7130"/>
    <w:p w:rsidR="009C7130" w:rsidRDefault="009C7130" w:rsidP="009C7130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Provedba analize korupcijskih rizika u području zdravstva </w:t>
      </w:r>
    </w:p>
    <w:p w:rsidR="009C7130" w:rsidRDefault="009C7130" w:rsidP="009C7130">
      <w:pPr>
        <w:tabs>
          <w:tab w:val="left" w:pos="5160"/>
        </w:tabs>
      </w:pPr>
    </w:p>
    <w:p w:rsidR="009C7130" w:rsidRDefault="009C7130" w:rsidP="009C7130">
      <w:pPr>
        <w:tabs>
          <w:tab w:val="left" w:pos="5160"/>
        </w:tabs>
      </w:pPr>
    </w:p>
    <w:p w:rsidR="009C7130" w:rsidRDefault="009C7130" w:rsidP="009C713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Akcijskim planom za 2017. i 2018. godinu kao provedbenim dokumentom uz  Strategiju suzbijanja korupcije za razdoblje od 2015. do 2020. godine,  jedna od planiranih aktivnosti u okviru mjere: </w:t>
      </w:r>
    </w:p>
    <w:p w:rsidR="009C7130" w:rsidRDefault="009C7130" w:rsidP="009C713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9C7130">
        <w:rPr>
          <w:sz w:val="28"/>
          <w:szCs w:val="28"/>
        </w:rPr>
        <w:t>Jačanje povjerenja korisnika u pružene zdravstvene usluge te podizanje svijesti o štetnosti korupcije i neformalnog plaćanja zdravstvenih usluga</w:t>
      </w:r>
      <w:r>
        <w:rPr>
          <w:sz w:val="28"/>
          <w:szCs w:val="28"/>
        </w:rPr>
        <w:t>“ je i provedba analize korupcijskih rizika u području zdravstva.</w:t>
      </w:r>
    </w:p>
    <w:p w:rsidR="009C7130" w:rsidRPr="009C7130" w:rsidRDefault="009C7130" w:rsidP="009C713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Ministarstvo zdravstva izradilo je </w:t>
      </w:r>
      <w:r w:rsidR="00E73E3B">
        <w:rPr>
          <w:sz w:val="28"/>
          <w:szCs w:val="28"/>
        </w:rPr>
        <w:t>analizu korupcijskih rizika u području zdravstva koja se nalazi</w:t>
      </w:r>
      <w:bookmarkStart w:id="0" w:name="_GoBack"/>
      <w:bookmarkEnd w:id="0"/>
      <w:r>
        <w:rPr>
          <w:sz w:val="28"/>
          <w:szCs w:val="28"/>
        </w:rPr>
        <w:t xml:space="preserve"> u privitku.</w:t>
      </w:r>
    </w:p>
    <w:p w:rsidR="009C7130" w:rsidRDefault="009C7130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Default="000826E8"/>
    <w:p w:rsidR="000826E8" w:rsidRPr="000826E8" w:rsidRDefault="000826E8" w:rsidP="000826E8">
      <w:pPr>
        <w:spacing w:after="160" w:line="259" w:lineRule="auto"/>
        <w:jc w:val="center"/>
        <w:rPr>
          <w:rFonts w:eastAsiaTheme="minorHAnsi"/>
          <w:sz w:val="28"/>
          <w:szCs w:val="28"/>
          <w:lang w:val="en-GB" w:eastAsia="en-US"/>
        </w:rPr>
      </w:pPr>
      <w:r w:rsidRPr="000826E8">
        <w:rPr>
          <w:rFonts w:eastAsiaTheme="minorHAnsi"/>
          <w:sz w:val="28"/>
          <w:szCs w:val="28"/>
          <w:lang w:val="en-GB" w:eastAsia="en-US"/>
        </w:rPr>
        <w:lastRenderedPageBreak/>
        <w:t>ANALIZA KORUPCIJSKIH RIZIKA U PODRUČJU ZDRAVSTVA</w:t>
      </w:r>
    </w:p>
    <w:p w:rsidR="000826E8" w:rsidRPr="000826E8" w:rsidRDefault="000826E8" w:rsidP="000826E8">
      <w:pPr>
        <w:spacing w:after="160" w:line="259" w:lineRule="auto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26E8">
        <w:rPr>
          <w:rFonts w:eastAsiaTheme="minorHAnsi"/>
          <w:lang w:eastAsia="en-US"/>
        </w:rPr>
        <w:t>Korupcija je sveprisutni fenomen koji zahvaća zdravstveni sektor sa snažnim negativnim učinkom na zdravlje i blagostanje građana te je suzbijanje korupcije važan čimbenik unaprjeđenja zdravstvene usluge.</w:t>
      </w:r>
    </w:p>
    <w:p w:rsidR="000826E8" w:rsidRPr="000826E8" w:rsidRDefault="000826E8" w:rsidP="000826E8">
      <w:pPr>
        <w:spacing w:after="160" w:line="259" w:lineRule="auto"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U </w:t>
      </w:r>
      <w:proofErr w:type="spellStart"/>
      <w:r w:rsidRPr="000826E8">
        <w:rPr>
          <w:rFonts w:eastAsiaTheme="minorHAnsi"/>
          <w:lang w:val="en-GB" w:eastAsia="en-US"/>
        </w:rPr>
        <w:t>dokumentu</w:t>
      </w:r>
      <w:proofErr w:type="spellEnd"/>
      <w:r w:rsidRPr="000826E8">
        <w:rPr>
          <w:rFonts w:eastAsiaTheme="minorHAnsi"/>
          <w:lang w:val="en-GB" w:eastAsia="en-US"/>
        </w:rPr>
        <w:t xml:space="preserve"> Transparency international “</w:t>
      </w:r>
      <w:r w:rsidRPr="000826E8">
        <w:rPr>
          <w:rFonts w:eastAsiaTheme="minorHAnsi"/>
          <w:i/>
          <w:lang w:val="en-GB" w:eastAsia="en-US"/>
        </w:rPr>
        <w:t>Corruption Perceptions Index 2017</w:t>
      </w:r>
      <w:r w:rsidRPr="000826E8">
        <w:rPr>
          <w:rFonts w:eastAsiaTheme="minorHAnsi"/>
          <w:lang w:val="en-GB" w:eastAsia="en-US"/>
        </w:rPr>
        <w:t xml:space="preserve">” </w:t>
      </w:r>
      <w:proofErr w:type="gramStart"/>
      <w:r w:rsidRPr="000826E8">
        <w:rPr>
          <w:rFonts w:eastAsiaTheme="minorHAnsi"/>
          <w:lang w:val="en-GB" w:eastAsia="en-US"/>
        </w:rPr>
        <w:t>od</w:t>
      </w:r>
      <w:proofErr w:type="gramEnd"/>
      <w:r w:rsidRPr="000826E8">
        <w:rPr>
          <w:rFonts w:eastAsiaTheme="minorHAnsi"/>
          <w:lang w:val="en-GB" w:eastAsia="en-US"/>
        </w:rPr>
        <w:t xml:space="preserve"> 21.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veljače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2018, </w:t>
      </w:r>
      <w:proofErr w:type="spellStart"/>
      <w:r w:rsidRPr="000826E8">
        <w:rPr>
          <w:rFonts w:eastAsiaTheme="minorHAnsi"/>
          <w:lang w:val="en-GB" w:eastAsia="en-US"/>
        </w:rPr>
        <w:t>Hrvatska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nalazi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57.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mjestu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od 180 (</w:t>
      </w:r>
      <w:proofErr w:type="spellStart"/>
      <w:r w:rsidRPr="000826E8">
        <w:rPr>
          <w:rFonts w:eastAsiaTheme="minorHAnsi"/>
          <w:lang w:val="en-GB" w:eastAsia="en-US"/>
        </w:rPr>
        <w:t>počevši</w:t>
      </w:r>
      <w:proofErr w:type="spellEnd"/>
      <w:r w:rsidRPr="000826E8">
        <w:rPr>
          <w:rFonts w:eastAsiaTheme="minorHAnsi"/>
          <w:lang w:val="en-GB" w:eastAsia="en-US"/>
        </w:rPr>
        <w:t xml:space="preserve"> od </w:t>
      </w:r>
      <w:proofErr w:type="spellStart"/>
      <w:r w:rsidRPr="000826E8">
        <w:rPr>
          <w:rFonts w:eastAsiaTheme="minorHAnsi"/>
          <w:lang w:val="en-GB" w:eastAsia="en-US"/>
        </w:rPr>
        <w:t>najmanje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zahvaćenih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zemalja</w:t>
      </w:r>
      <w:proofErr w:type="spellEnd"/>
      <w:r w:rsidRPr="000826E8">
        <w:rPr>
          <w:rFonts w:eastAsiaTheme="minorHAnsi"/>
          <w:lang w:val="en-GB" w:eastAsia="en-US"/>
        </w:rPr>
        <w:t xml:space="preserve">), s 49 </w:t>
      </w:r>
      <w:proofErr w:type="spellStart"/>
      <w:r w:rsidRPr="000826E8">
        <w:rPr>
          <w:rFonts w:eastAsiaTheme="minorHAnsi"/>
          <w:lang w:val="en-GB" w:eastAsia="en-US"/>
        </w:rPr>
        <w:t>bodova</w:t>
      </w:r>
      <w:proofErr w:type="spellEnd"/>
      <w:r w:rsidRPr="000826E8">
        <w:rPr>
          <w:rFonts w:eastAsiaTheme="minorHAnsi"/>
          <w:lang w:val="en-GB" w:eastAsia="en-US"/>
        </w:rPr>
        <w:t xml:space="preserve"> od </w:t>
      </w:r>
      <w:proofErr w:type="spellStart"/>
      <w:r w:rsidRPr="000826E8">
        <w:rPr>
          <w:rFonts w:eastAsiaTheme="minorHAnsi"/>
          <w:lang w:val="en-GB" w:eastAsia="en-US"/>
        </w:rPr>
        <w:t>mogućih</w:t>
      </w:r>
      <w:proofErr w:type="spellEnd"/>
      <w:r w:rsidRPr="000826E8">
        <w:rPr>
          <w:rFonts w:eastAsiaTheme="minorHAnsi"/>
          <w:lang w:val="en-GB" w:eastAsia="en-US"/>
        </w:rPr>
        <w:t xml:space="preserve"> 100. </w:t>
      </w:r>
      <w:proofErr w:type="spellStart"/>
      <w:r w:rsidRPr="000826E8">
        <w:rPr>
          <w:rFonts w:eastAsiaTheme="minorHAnsi"/>
          <w:lang w:val="en-GB" w:eastAsia="en-US"/>
        </w:rPr>
        <w:t>Očito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kako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potrebno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uspostaviti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snažne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mehanizme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borbu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protiv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. Da </w:t>
      </w:r>
      <w:proofErr w:type="spellStart"/>
      <w:r w:rsidRPr="000826E8">
        <w:rPr>
          <w:rFonts w:eastAsiaTheme="minorHAnsi"/>
          <w:lang w:val="en-GB" w:eastAsia="en-US"/>
        </w:rPr>
        <w:t>bismo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definirali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kontinuirano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provodili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odgovarajuće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antikorupcijske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mjere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potrebno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identificirati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moguće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specifične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pojavu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ovom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području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lang w:eastAsia="en-US"/>
        </w:rPr>
        <w:t xml:space="preserve">Globalne inicijative za borbu protiv korupcije koje su poduzele međunarodne organizacije kao što su Transparency International i Svjetska banka postavile su opću perspektivu korupcije s aspekta upravljanja rizicima. Procjena korupcijskih rizika je alat kojim se nastoji identificirati slabosti unutar sustava koje mogu predstavljati mogućnosti da se dogodi korupcija </w:t>
      </w:r>
      <w:r w:rsidRPr="000826E8">
        <w:rPr>
          <w:rFonts w:eastAsiaTheme="minorHAnsi"/>
          <w:lang w:val="en-GB" w:eastAsia="en-US"/>
        </w:rPr>
        <w:t xml:space="preserve">(McDevitt 2011.). </w:t>
      </w:r>
      <w:proofErr w:type="spellStart"/>
      <w:r w:rsidRPr="000826E8">
        <w:rPr>
          <w:rFonts w:eastAsiaTheme="minorHAnsi"/>
          <w:lang w:val="en-GB" w:eastAsia="en-US"/>
        </w:rPr>
        <w:t>Cilj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utvrditi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postoji</w:t>
      </w:r>
      <w:proofErr w:type="spellEnd"/>
      <w:r w:rsidRPr="000826E8">
        <w:rPr>
          <w:rFonts w:eastAsiaTheme="minorHAnsi"/>
          <w:lang w:val="en-GB" w:eastAsia="en-US"/>
        </w:rPr>
        <w:t xml:space="preserve"> li </w:t>
      </w:r>
      <w:proofErr w:type="spellStart"/>
      <w:r w:rsidRPr="000826E8">
        <w:rPr>
          <w:rFonts w:eastAsiaTheme="minorHAnsi"/>
          <w:lang w:val="en-GB" w:eastAsia="en-US"/>
        </w:rPr>
        <w:t>korupcija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ne u </w:t>
      </w:r>
      <w:proofErr w:type="spellStart"/>
      <w:r w:rsidRPr="000826E8">
        <w:rPr>
          <w:rFonts w:eastAsiaTheme="minorHAnsi"/>
          <w:lang w:val="en-GB" w:eastAsia="en-US"/>
        </w:rPr>
        <w:t>određenom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području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otkriti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korumpirane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pojedince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već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potencijal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korupciju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Upravljanje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rizikom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odnosi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na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poduzimanje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koraka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rješavanje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(CCECC; </w:t>
      </w:r>
      <w:proofErr w:type="spellStart"/>
      <w:r w:rsidRPr="000826E8">
        <w:rPr>
          <w:rFonts w:eastAsiaTheme="minorHAnsi"/>
          <w:lang w:val="en-GB" w:eastAsia="en-US"/>
        </w:rPr>
        <w:t>Blais</w:t>
      </w:r>
      <w:proofErr w:type="spellEnd"/>
      <w:r w:rsidRPr="000826E8">
        <w:rPr>
          <w:rFonts w:eastAsiaTheme="minorHAnsi"/>
          <w:lang w:val="en-GB" w:eastAsia="en-US"/>
        </w:rPr>
        <w:t xml:space="preserve"> and </w:t>
      </w:r>
      <w:proofErr w:type="spellStart"/>
      <w:r w:rsidRPr="000826E8">
        <w:rPr>
          <w:rFonts w:eastAsiaTheme="minorHAnsi"/>
          <w:lang w:val="en-GB" w:eastAsia="en-US"/>
        </w:rPr>
        <w:t>Shenkelaars</w:t>
      </w:r>
      <w:proofErr w:type="spellEnd"/>
      <w:r w:rsidRPr="000826E8">
        <w:rPr>
          <w:rFonts w:eastAsiaTheme="minorHAnsi"/>
          <w:lang w:val="en-GB" w:eastAsia="en-US"/>
        </w:rPr>
        <w:t xml:space="preserve"> 2009).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26E8">
        <w:rPr>
          <w:rFonts w:eastAsiaTheme="minorHAnsi"/>
          <w:lang w:eastAsia="en-US"/>
        </w:rPr>
        <w:t xml:space="preserve">Čimbenici korupcijskog rizika su okolnosti koje mogu poticati, uzrokovati ili dopustiti korumpirano ili neetično ponašanje. Dva važna opća čimbenika korupcijskog rizika su prikazana u </w:t>
      </w:r>
      <w:proofErr w:type="spellStart"/>
      <w:r w:rsidRPr="000826E8">
        <w:rPr>
          <w:rFonts w:eastAsiaTheme="minorHAnsi"/>
          <w:lang w:eastAsia="en-US"/>
        </w:rPr>
        <w:t>Klitgaardovoj</w:t>
      </w:r>
      <w:proofErr w:type="spellEnd"/>
      <w:r w:rsidRPr="000826E8">
        <w:rPr>
          <w:rFonts w:eastAsiaTheme="minorHAnsi"/>
          <w:lang w:eastAsia="en-US"/>
        </w:rPr>
        <w:t xml:space="preserve"> korupcijskoj formuli gdje je C = M + D – A –T</w:t>
      </w:r>
      <w:r w:rsidRPr="000826E8">
        <w:rPr>
          <w:rFonts w:eastAsiaTheme="minorHAnsi"/>
          <w:vertAlign w:val="superscript"/>
          <w:lang w:eastAsia="en-US"/>
        </w:rPr>
        <w:footnoteReference w:id="1"/>
      </w:r>
      <w:r w:rsidRPr="000826E8">
        <w:rPr>
          <w:rFonts w:eastAsiaTheme="minorHAnsi"/>
          <w:lang w:eastAsia="en-US"/>
        </w:rPr>
        <w:t xml:space="preserve"> (Korupcija jednaka Monopolu i Diskrecijskoj vrijednosti minus (A)odgovornost minus Transparentnost). Iako postoje neke kritike ove formule neosporno je da monopol i diskreciju trebalo ograničiti u procesima javnog sektora, dok odgovornost i transparentnost trebaju biti veliki. Ako su monopol i diskrecija djelomično ili potpuno neizbježni, kao što je slučaj u pretežno socijalnom sustavu zdravstvenih usluga i predstavljaju legitiman način rada, posebnu pažnju treba posvetiti sprječavanju zloporabe.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6E8" w:rsidRPr="000826E8" w:rsidRDefault="000826E8" w:rsidP="000826E8">
      <w:pPr>
        <w:spacing w:after="160"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Iako</w:t>
      </w:r>
      <w:proofErr w:type="spellEnd"/>
      <w:r w:rsidRPr="000826E8">
        <w:rPr>
          <w:rFonts w:eastAsiaTheme="minorHAnsi"/>
          <w:lang w:val="en-GB" w:eastAsia="en-US"/>
        </w:rPr>
        <w:t xml:space="preserve"> ne </w:t>
      </w:r>
      <w:proofErr w:type="spellStart"/>
      <w:r w:rsidRPr="000826E8">
        <w:rPr>
          <w:rFonts w:eastAsiaTheme="minorHAnsi"/>
          <w:lang w:val="en-GB" w:eastAsia="en-US"/>
        </w:rPr>
        <w:t>postoji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međunarodni</w:t>
      </w:r>
      <w:proofErr w:type="spellEnd"/>
      <w:r w:rsidRPr="000826E8">
        <w:rPr>
          <w:rFonts w:eastAsiaTheme="minorHAnsi"/>
          <w:lang w:val="en-GB" w:eastAsia="en-US"/>
        </w:rPr>
        <w:t xml:space="preserve"> standard, </w:t>
      </w:r>
      <w:proofErr w:type="spellStart"/>
      <w:r w:rsidRPr="000826E8">
        <w:rPr>
          <w:rFonts w:eastAsiaTheme="minorHAnsi"/>
          <w:lang w:val="en-GB" w:eastAsia="en-US"/>
        </w:rPr>
        <w:t>mehanizam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metodologija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specifično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području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više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općih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međunarodnih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standarda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mehanizama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različitih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sadržaju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opsegu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Svi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uključuju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vrlo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slične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osnovne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univerzalne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korake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treba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poduzeti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ovom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procesu</w:t>
      </w:r>
      <w:proofErr w:type="spellEnd"/>
      <w:r w:rsidRPr="000826E8">
        <w:rPr>
          <w:rFonts w:eastAsiaTheme="minorHAnsi"/>
          <w:lang w:val="en-GB" w:eastAsia="en-US"/>
        </w:rPr>
        <w:t xml:space="preserve">: </w:t>
      </w:r>
      <w:proofErr w:type="spellStart"/>
      <w:r w:rsidRPr="000826E8">
        <w:rPr>
          <w:rFonts w:eastAsiaTheme="minorHAnsi"/>
          <w:lang w:val="en-GB" w:eastAsia="en-US"/>
        </w:rPr>
        <w:t>prvo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potrebno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uspostaviti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kontekst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zatim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što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može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dogoditi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kada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gdje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kako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zašto</w:t>
      </w:r>
      <w:proofErr w:type="spellEnd"/>
      <w:r w:rsidRPr="000826E8">
        <w:rPr>
          <w:rFonts w:eastAsiaTheme="minorHAnsi"/>
          <w:lang w:val="en-GB" w:eastAsia="en-US"/>
        </w:rPr>
        <w:t xml:space="preserve">), </w:t>
      </w:r>
      <w:proofErr w:type="spellStart"/>
      <w:r w:rsidRPr="000826E8">
        <w:rPr>
          <w:rFonts w:eastAsiaTheme="minorHAnsi"/>
          <w:lang w:val="en-GB" w:eastAsia="en-US"/>
        </w:rPr>
        <w:t>zatim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analizirati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odrediti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razinu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), </w:t>
      </w:r>
      <w:proofErr w:type="spellStart"/>
      <w:r w:rsidRPr="000826E8">
        <w:rPr>
          <w:rFonts w:eastAsiaTheme="minorHAnsi"/>
          <w:lang w:val="en-GB" w:eastAsia="en-US"/>
        </w:rPr>
        <w:t>procijeniti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konačno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tretirati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adekvatan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način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učinkovito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procjenjivanje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Transparency International je </w:t>
      </w:r>
      <w:proofErr w:type="spellStart"/>
      <w:r w:rsidRPr="000826E8">
        <w:rPr>
          <w:rFonts w:eastAsiaTheme="minorHAnsi"/>
          <w:lang w:val="en-GB" w:eastAsia="en-US"/>
        </w:rPr>
        <w:t>razvio</w:t>
      </w:r>
      <w:proofErr w:type="spellEnd"/>
      <w:r w:rsidRPr="000826E8">
        <w:rPr>
          <w:rFonts w:eastAsiaTheme="minorHAnsi"/>
          <w:lang w:val="en-GB" w:eastAsia="en-US"/>
        </w:rPr>
        <w:t xml:space="preserve"> 10 </w:t>
      </w:r>
      <w:proofErr w:type="spellStart"/>
      <w:r w:rsidRPr="000826E8">
        <w:rPr>
          <w:rFonts w:eastAsiaTheme="minorHAnsi"/>
          <w:lang w:val="en-GB" w:eastAsia="en-US"/>
        </w:rPr>
        <w:t>načela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dobre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prakse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ćemo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pridržavati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ovoj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analizi</w:t>
      </w:r>
      <w:proofErr w:type="spellEnd"/>
      <w:proofErr w:type="gramStart"/>
      <w:r w:rsidRPr="000826E8">
        <w:rPr>
          <w:rFonts w:eastAsiaTheme="minorHAnsi"/>
          <w:lang w:val="en-GB" w:eastAsia="en-US"/>
        </w:rPr>
        <w:t>:</w:t>
      </w:r>
      <w:proofErr w:type="gramEnd"/>
      <w:r w:rsidRPr="000826E8">
        <w:rPr>
          <w:rFonts w:eastAsiaTheme="minorHAnsi"/>
          <w:lang w:val="en-GB" w:eastAsia="en-US"/>
        </w:rPr>
        <w:br/>
        <w:t xml:space="preserve">1. </w:t>
      </w:r>
      <w:proofErr w:type="spellStart"/>
      <w:r w:rsidRPr="000826E8">
        <w:rPr>
          <w:rFonts w:eastAsiaTheme="minorHAnsi"/>
          <w:lang w:val="en-GB" w:eastAsia="en-US"/>
        </w:rPr>
        <w:t>Puna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podrška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predanost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nadređenih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drugog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visokog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menadžmenta</w:t>
      </w:r>
      <w:proofErr w:type="spellEnd"/>
      <w:r w:rsidRPr="000826E8">
        <w:rPr>
          <w:rFonts w:eastAsiaTheme="minorHAnsi"/>
          <w:lang w:val="en-GB" w:eastAsia="en-US"/>
        </w:rPr>
        <w:br/>
        <w:t xml:space="preserve">2.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uključivanje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kompetentnih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ljudi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kako</w:t>
      </w:r>
      <w:proofErr w:type="spellEnd"/>
      <w:r w:rsidRPr="000826E8">
        <w:rPr>
          <w:rFonts w:eastAsiaTheme="minorHAnsi"/>
          <w:lang w:val="en-GB" w:eastAsia="en-US"/>
        </w:rPr>
        <w:t xml:space="preserve"> bi se </w:t>
      </w:r>
      <w:proofErr w:type="spellStart"/>
      <w:r w:rsidRPr="000826E8">
        <w:rPr>
          <w:rFonts w:eastAsiaTheme="minorHAnsi"/>
          <w:lang w:val="en-GB" w:eastAsia="en-US"/>
        </w:rPr>
        <w:t>osiguralo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dostatno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informirani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potpuni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pregled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institucije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njezinih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br/>
        <w:t xml:space="preserve">3.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sveobuhvatnost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uzimajući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obzir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aktivnosti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ustanove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mogu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stvoriti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značajan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lastRenderedPageBreak/>
        <w:t>korupcijski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</w:t>
      </w:r>
      <w:proofErr w:type="spellEnd"/>
      <w:r w:rsidRPr="000826E8">
        <w:rPr>
          <w:rFonts w:eastAsiaTheme="minorHAnsi"/>
          <w:lang w:val="en-GB" w:eastAsia="en-US"/>
        </w:rPr>
        <w:br/>
        <w:t xml:space="preserve">4.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izbjegavati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predrasude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učinkovitosti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kontrola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integritetu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zaposlenika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trećih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strana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usredotočiti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inherentne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br/>
        <w:t xml:space="preserve">5.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utvrditi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opisati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s </w:t>
      </w:r>
      <w:proofErr w:type="spellStart"/>
      <w:r w:rsidRPr="000826E8">
        <w:rPr>
          <w:rFonts w:eastAsiaTheme="minorHAnsi"/>
          <w:lang w:val="en-GB" w:eastAsia="en-US"/>
        </w:rPr>
        <w:t>odgovarajućim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detaljima</w:t>
      </w:r>
      <w:proofErr w:type="spellEnd"/>
      <w:r w:rsidRPr="000826E8">
        <w:rPr>
          <w:rFonts w:eastAsiaTheme="minorHAnsi"/>
          <w:lang w:val="en-GB" w:eastAsia="en-US"/>
        </w:rPr>
        <w:br/>
        <w:t xml:space="preserve">6.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procijeniti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stvarnu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vjerojatnost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utjecaj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7.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praktično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smisleno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odrediti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prioritetne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8.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dokumentirani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postupak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način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pokazati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njegovu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učinkovitost</w:t>
      </w:r>
      <w:proofErr w:type="spellEnd"/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9.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provoditi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postupak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redovito</w:t>
      </w:r>
      <w:proofErr w:type="spellEnd"/>
      <w:r w:rsidRPr="000826E8">
        <w:rPr>
          <w:rFonts w:eastAsiaTheme="minorHAnsi"/>
          <w:lang w:val="en-GB" w:eastAsia="en-US"/>
        </w:rPr>
        <w:t xml:space="preserve">, u </w:t>
      </w:r>
      <w:proofErr w:type="spellStart"/>
      <w:r w:rsidRPr="000826E8">
        <w:rPr>
          <w:rFonts w:eastAsiaTheme="minorHAnsi"/>
          <w:lang w:val="en-GB" w:eastAsia="en-US"/>
        </w:rPr>
        <w:t>odgovarajućim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intervalima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slučaju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značajnih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promjena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utječu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javni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r w:rsidRPr="000826E8">
        <w:rPr>
          <w:rFonts w:eastAsiaTheme="minorHAnsi"/>
          <w:lang w:val="en-GB" w:eastAsia="en-US"/>
        </w:rPr>
        <w:br/>
        <w:t xml:space="preserve">10.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učinkovito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komunicirati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postupak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oblikovati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ga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način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olakšava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učinkovitu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komunikaciju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osmišljavanje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odgovarajućih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politika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programa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kontrola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Tehnički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vodič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Konvenciju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protiv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Ujedinjenih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naroda</w:t>
      </w:r>
      <w:proofErr w:type="spellEnd"/>
      <w:r w:rsidRPr="000826E8">
        <w:rPr>
          <w:rFonts w:eastAsiaTheme="minorHAnsi"/>
          <w:lang w:val="en-GB" w:eastAsia="en-US"/>
        </w:rPr>
        <w:t xml:space="preserve"> (UNCAC</w:t>
      </w:r>
      <w:proofErr w:type="gramStart"/>
      <w:r w:rsidRPr="000826E8">
        <w:rPr>
          <w:rFonts w:eastAsiaTheme="minorHAnsi"/>
          <w:lang w:val="en-GB" w:eastAsia="en-US"/>
        </w:rPr>
        <w:t>)57</w:t>
      </w:r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savjetuje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oblikovanje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antikorupcijske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strategije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temelju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treba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zasnovana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relevantnim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informacijama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statističkim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podacima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Ovaj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vodič</w:t>
      </w:r>
      <w:proofErr w:type="spellEnd"/>
      <w:r w:rsidRPr="000826E8">
        <w:rPr>
          <w:rFonts w:eastAsiaTheme="minorHAnsi"/>
          <w:lang w:val="en-GB" w:eastAsia="en-US"/>
        </w:rPr>
        <w:t xml:space="preserve"> ne </w:t>
      </w:r>
      <w:proofErr w:type="spellStart"/>
      <w:r w:rsidRPr="000826E8">
        <w:rPr>
          <w:rFonts w:eastAsiaTheme="minorHAnsi"/>
          <w:lang w:val="en-GB" w:eastAsia="en-US"/>
        </w:rPr>
        <w:t>uključuje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metodologiju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takvu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procjenu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ali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nudi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neke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poglede</w:t>
      </w:r>
      <w:proofErr w:type="spellEnd"/>
      <w:r w:rsidRPr="000826E8">
        <w:rPr>
          <w:rFonts w:eastAsiaTheme="minorHAnsi"/>
          <w:lang w:val="en-GB" w:eastAsia="en-US"/>
        </w:rPr>
        <w:t xml:space="preserve"> o tome </w:t>
      </w:r>
      <w:proofErr w:type="spellStart"/>
      <w:r w:rsidRPr="000826E8">
        <w:rPr>
          <w:rFonts w:eastAsiaTheme="minorHAnsi"/>
          <w:lang w:val="en-GB" w:eastAsia="en-US"/>
        </w:rPr>
        <w:t>koje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informacije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aktivnosti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treba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smatrati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relevantnima</w:t>
      </w:r>
      <w:proofErr w:type="spellEnd"/>
      <w:r w:rsidRPr="000826E8">
        <w:rPr>
          <w:rFonts w:eastAsiaTheme="minorHAnsi"/>
          <w:lang w:val="en-GB" w:eastAsia="en-US"/>
        </w:rPr>
        <w:t>. (</w:t>
      </w:r>
      <w:proofErr w:type="spellStart"/>
      <w:r w:rsidRPr="000826E8">
        <w:rPr>
          <w:rFonts w:eastAsiaTheme="minorHAnsi"/>
          <w:lang w:val="en-GB" w:eastAsia="en-US"/>
        </w:rPr>
        <w:t>Prema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Tehničkom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vodiču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korisni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podaci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uključuju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revizorska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izvješća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javnim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tijelima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statističke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podatake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odgovaraju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okolnostima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određene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zemlje</w:t>
      </w:r>
      <w:proofErr w:type="spellEnd"/>
      <w:r w:rsidRPr="000826E8">
        <w:rPr>
          <w:rFonts w:eastAsiaTheme="minorHAnsi"/>
          <w:lang w:val="en-GB" w:eastAsia="en-US"/>
        </w:rPr>
        <w:t xml:space="preserve">.) </w:t>
      </w:r>
      <w:proofErr w:type="spellStart"/>
      <w:r w:rsidRPr="000826E8">
        <w:rPr>
          <w:rFonts w:eastAsiaTheme="minorHAnsi"/>
          <w:lang w:val="en-GB" w:eastAsia="en-US"/>
        </w:rPr>
        <w:t>Nadalje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vodič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predlaže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posebna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istraživanja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će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provoditi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svrhu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identifikacije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uzroka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trendova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ranjivosti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Sve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prikupljene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informacije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podaci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trebaju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koristiti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ranjivosti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trendove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uzroke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vrste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prisutnosti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ozbiljnost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utjecaj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Takav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pristup</w:t>
      </w:r>
      <w:proofErr w:type="spellEnd"/>
      <w:r w:rsidRPr="000826E8">
        <w:rPr>
          <w:rFonts w:eastAsiaTheme="minorHAnsi"/>
          <w:lang w:val="en-GB" w:eastAsia="en-US"/>
        </w:rPr>
        <w:t xml:space="preserve"> bi </w:t>
      </w:r>
      <w:proofErr w:type="spellStart"/>
      <w:r w:rsidRPr="000826E8">
        <w:rPr>
          <w:rFonts w:eastAsiaTheme="minorHAnsi"/>
          <w:lang w:val="en-GB" w:eastAsia="en-US"/>
        </w:rPr>
        <w:t>trebao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omogućiti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bolje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poznavanje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ili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izloženi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mjere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izloženosti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što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dodatno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pomoći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razvijanju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prakse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bolju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prevenciju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otkrivanje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Upravljanje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</w:p>
    <w:p w:rsidR="000826E8" w:rsidRPr="000826E8" w:rsidRDefault="000826E8" w:rsidP="000826E8">
      <w:pPr>
        <w:spacing w:line="259" w:lineRule="auto"/>
        <w:ind w:left="567"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noProof/>
        </w:rPr>
        <w:drawing>
          <wp:inline distT="0" distB="0" distL="0" distR="0" wp14:anchorId="732262C8" wp14:editId="09349629">
            <wp:extent cx="4952391" cy="2779776"/>
            <wp:effectExtent l="0" t="38100" r="0" b="40005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after="160" w:line="259" w:lineRule="auto"/>
        <w:ind w:left="708"/>
        <w:rPr>
          <w:rFonts w:eastAsiaTheme="minorHAnsi"/>
          <w:b/>
          <w:lang w:val="en-GB" w:eastAsia="en-US"/>
        </w:rPr>
      </w:pPr>
      <w:proofErr w:type="spellStart"/>
      <w:r w:rsidRPr="000826E8">
        <w:rPr>
          <w:rFonts w:eastAsiaTheme="minorHAnsi"/>
          <w:b/>
          <w:lang w:val="en-GB" w:eastAsia="en-US"/>
        </w:rPr>
        <w:lastRenderedPageBreak/>
        <w:t>Mapiranje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rizika</w:t>
      </w:r>
      <w:proofErr w:type="spellEnd"/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U </w:t>
      </w:r>
      <w:proofErr w:type="spellStart"/>
      <w:r w:rsidRPr="000826E8">
        <w:rPr>
          <w:rFonts w:eastAsiaTheme="minorHAnsi"/>
          <w:lang w:val="en-GB" w:eastAsia="en-US"/>
        </w:rPr>
        <w:t>procesu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upravljanja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identifikaciju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koristili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smo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alat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mapiranje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</w:p>
    <w:p w:rsidR="000826E8" w:rsidRPr="000826E8" w:rsidRDefault="000826E8" w:rsidP="000826E8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proofErr w:type="gramStart"/>
      <w:r w:rsidRPr="000826E8">
        <w:rPr>
          <w:rFonts w:eastAsiaTheme="minorHAnsi"/>
          <w:lang w:val="en-GB" w:eastAsia="en-US"/>
        </w:rPr>
        <w:t>prepoznavanje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podložnog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korupciji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prvi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procesa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</w:p>
    <w:p w:rsidR="000826E8" w:rsidRPr="000826E8" w:rsidRDefault="000826E8" w:rsidP="000826E8">
      <w:pPr>
        <w:spacing w:line="259" w:lineRule="auto"/>
        <w:ind w:left="720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Rizici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moraju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kako</w:t>
      </w:r>
      <w:proofErr w:type="spellEnd"/>
      <w:r w:rsidRPr="000826E8">
        <w:rPr>
          <w:rFonts w:eastAsiaTheme="minorHAnsi"/>
          <w:lang w:val="en-GB" w:eastAsia="en-US"/>
        </w:rPr>
        <w:t xml:space="preserve"> bi se</w:t>
      </w:r>
    </w:p>
    <w:p w:rsidR="000826E8" w:rsidRPr="000826E8" w:rsidRDefault="000826E8" w:rsidP="000826E8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osiguralo</w:t>
      </w:r>
      <w:proofErr w:type="spellEnd"/>
      <w:r w:rsidRPr="000826E8">
        <w:rPr>
          <w:rFonts w:eastAsiaTheme="minorHAnsi"/>
          <w:lang w:val="en-GB" w:eastAsia="en-US"/>
        </w:rPr>
        <w:t xml:space="preserve"> da </w:t>
      </w:r>
      <w:proofErr w:type="spellStart"/>
      <w:r w:rsidRPr="000826E8">
        <w:rPr>
          <w:rFonts w:eastAsiaTheme="minorHAnsi"/>
          <w:lang w:val="en-GB" w:eastAsia="en-US"/>
        </w:rPr>
        <w:t>su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upravljanja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obuhvaćeni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svi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značajni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razvili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prikladni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postupci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mjerenje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izloženosti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</w:p>
    <w:p w:rsidR="000826E8" w:rsidRPr="000826E8" w:rsidRDefault="000826E8" w:rsidP="000826E8">
      <w:pPr>
        <w:spacing w:line="259" w:lineRule="auto"/>
        <w:ind w:left="786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Područja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odabrana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temeljem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slijedećih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kriterija</w:t>
      </w:r>
      <w:proofErr w:type="spellEnd"/>
    </w:p>
    <w:p w:rsidR="000826E8" w:rsidRPr="000826E8" w:rsidRDefault="000826E8" w:rsidP="000826E8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relevantnost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usluge</w:t>
      </w:r>
      <w:proofErr w:type="spellEnd"/>
    </w:p>
    <w:p w:rsidR="000826E8" w:rsidRPr="000826E8" w:rsidRDefault="000826E8" w:rsidP="000826E8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utjecaj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financijske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resurse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sektora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produljenje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bolovanja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lošiji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rezultati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liječenja</w:t>
      </w:r>
      <w:proofErr w:type="spellEnd"/>
    </w:p>
    <w:p w:rsidR="000826E8" w:rsidRPr="000826E8" w:rsidRDefault="000826E8" w:rsidP="000826E8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proofErr w:type="gramStart"/>
      <w:r w:rsidRPr="000826E8">
        <w:rPr>
          <w:rFonts w:eastAsiaTheme="minorHAnsi"/>
          <w:lang w:val="en-GB" w:eastAsia="en-US"/>
        </w:rPr>
        <w:t>mogućnost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upravljanja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odvojeno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drugih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ind w:left="786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Ovaj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korak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proveden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kao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r w:rsidRPr="000826E8">
        <w:rPr>
          <w:rFonts w:eastAsiaTheme="minorHAnsi"/>
          <w:i/>
          <w:lang w:val="en-GB" w:eastAsia="en-US"/>
        </w:rPr>
        <w:t>brainstorming</w:t>
      </w:r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ključnih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članove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na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temelju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iskustva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ind w:left="360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ocjena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sastoji</w:t>
      </w:r>
      <w:proofErr w:type="spellEnd"/>
      <w:r w:rsidRPr="000826E8">
        <w:rPr>
          <w:rFonts w:eastAsiaTheme="minorHAnsi"/>
          <w:lang w:val="en-GB" w:eastAsia="en-US"/>
        </w:rPr>
        <w:t xml:space="preserve"> od:</w:t>
      </w:r>
    </w:p>
    <w:p w:rsidR="000826E8" w:rsidRPr="000826E8" w:rsidRDefault="000826E8" w:rsidP="000826E8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vjerojatnosti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pojave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pojedinom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području</w:t>
      </w:r>
      <w:proofErr w:type="spellEnd"/>
    </w:p>
    <w:p w:rsidR="000826E8" w:rsidRPr="000826E8" w:rsidRDefault="000826E8" w:rsidP="000826E8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ozbiljnosti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obično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skali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ozbiljan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srednji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mali</w:t>
      </w:r>
      <w:proofErr w:type="spellEnd"/>
      <w:r w:rsidRPr="000826E8">
        <w:rPr>
          <w:rFonts w:eastAsiaTheme="minorHAnsi"/>
          <w:lang w:val="en-GB" w:eastAsia="en-US"/>
        </w:rPr>
        <w:t>)</w:t>
      </w:r>
    </w:p>
    <w:p w:rsidR="000826E8" w:rsidRPr="000826E8" w:rsidRDefault="000826E8" w:rsidP="000826E8">
      <w:pPr>
        <w:spacing w:line="259" w:lineRule="auto"/>
        <w:ind w:left="720"/>
        <w:contextualSpacing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određivanje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prioritetnih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</w:p>
    <w:p w:rsidR="000826E8" w:rsidRPr="000826E8" w:rsidRDefault="000826E8" w:rsidP="000826E8">
      <w:pPr>
        <w:spacing w:line="259" w:lineRule="auto"/>
        <w:ind w:left="720"/>
        <w:contextualSpacing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upravljanje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U </w:t>
      </w:r>
      <w:proofErr w:type="spellStart"/>
      <w:r w:rsidRPr="000826E8">
        <w:rPr>
          <w:rFonts w:eastAsiaTheme="minorHAnsi"/>
          <w:lang w:val="en-GB" w:eastAsia="en-US"/>
        </w:rPr>
        <w:t>ovom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dokumentu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bavit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ćemo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prepoznavanjem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ocjenom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ind w:left="708"/>
        <w:rPr>
          <w:rFonts w:eastAsiaTheme="minorHAnsi"/>
          <w:b/>
          <w:lang w:val="en-GB" w:eastAsia="en-US"/>
        </w:rPr>
      </w:pPr>
      <w:proofErr w:type="spellStart"/>
      <w:r w:rsidRPr="000826E8">
        <w:rPr>
          <w:rFonts w:eastAsiaTheme="minorHAnsi"/>
          <w:b/>
          <w:lang w:val="en-GB" w:eastAsia="en-US"/>
        </w:rPr>
        <w:t>Prepoznavanje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područja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podložnog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korupciji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</w:p>
    <w:p w:rsidR="000826E8" w:rsidRPr="000826E8" w:rsidRDefault="000826E8" w:rsidP="000826E8">
      <w:pPr>
        <w:spacing w:line="259" w:lineRule="auto"/>
        <w:ind w:left="708"/>
        <w:rPr>
          <w:rFonts w:eastAsiaTheme="minorHAnsi"/>
          <w:b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Kao segment </w:t>
      </w:r>
      <w:proofErr w:type="spellStart"/>
      <w:r w:rsidRPr="000826E8">
        <w:rPr>
          <w:rFonts w:eastAsiaTheme="minorHAnsi"/>
          <w:lang w:val="en-GB" w:eastAsia="en-US"/>
        </w:rPr>
        <w:t>zdravstvenog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sustava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najizloženiji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prepoznat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odnos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radnik</w:t>
      </w:r>
      <w:proofErr w:type="spellEnd"/>
      <w:r w:rsidRPr="000826E8">
        <w:rPr>
          <w:rFonts w:eastAsiaTheme="minorHAnsi"/>
          <w:lang w:val="en-GB" w:eastAsia="en-US"/>
        </w:rPr>
        <w:t>/</w:t>
      </w:r>
      <w:proofErr w:type="spellStart"/>
      <w:r w:rsidRPr="000826E8">
        <w:rPr>
          <w:rFonts w:eastAsiaTheme="minorHAnsi"/>
          <w:lang w:val="en-GB" w:eastAsia="en-US"/>
        </w:rPr>
        <w:t>radnik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- </w:t>
      </w:r>
      <w:proofErr w:type="spellStart"/>
      <w:r w:rsidRPr="000826E8">
        <w:rPr>
          <w:rFonts w:eastAsiaTheme="minorHAnsi"/>
          <w:lang w:val="en-GB" w:eastAsia="en-US"/>
        </w:rPr>
        <w:t>pacijent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Dva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uzročna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čimbenika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korupcije-rizika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okviru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ovog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odnosa</w:t>
      </w:r>
      <w:proofErr w:type="spellEnd"/>
      <w:r w:rsidRPr="000826E8">
        <w:rPr>
          <w:rFonts w:eastAsiaTheme="minorHAnsi"/>
          <w:lang w:val="en-GB" w:eastAsia="en-US"/>
        </w:rPr>
        <w:t>:</w:t>
      </w:r>
    </w:p>
    <w:p w:rsidR="000826E8" w:rsidRPr="000826E8" w:rsidRDefault="000826E8" w:rsidP="000826E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liste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čekanja</w:t>
      </w:r>
      <w:proofErr w:type="spellEnd"/>
      <w:r w:rsidRPr="000826E8">
        <w:rPr>
          <w:rFonts w:eastAsiaTheme="minorHAnsi"/>
          <w:lang w:val="en-GB" w:eastAsia="en-US"/>
        </w:rPr>
        <w:t xml:space="preserve"> - </w:t>
      </w:r>
      <w:proofErr w:type="spellStart"/>
      <w:r w:rsidRPr="000826E8">
        <w:rPr>
          <w:rFonts w:eastAsiaTheme="minorHAnsi"/>
          <w:lang w:val="en-GB" w:eastAsia="en-US"/>
        </w:rPr>
        <w:t>loša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dostupnost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pojedinih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odnosno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dugo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čekanje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istu</w:t>
      </w:r>
      <w:proofErr w:type="spellEnd"/>
    </w:p>
    <w:p w:rsidR="000826E8" w:rsidRPr="000826E8" w:rsidRDefault="000826E8" w:rsidP="000826E8">
      <w:pPr>
        <w:spacing w:line="259" w:lineRule="auto"/>
        <w:ind w:left="708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Rizični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faktori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na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kojima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temeljila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odluka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odabir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ovog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>:</w:t>
      </w:r>
    </w:p>
    <w:p w:rsidR="000826E8" w:rsidRPr="000826E8" w:rsidRDefault="000826E8" w:rsidP="000826E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pozicija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pacijenta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listi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čekanja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uslugu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odnosno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odlučivanje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žurnosti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diskrecijska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odluka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radnika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postoji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odnos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monopola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pružanju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usluge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nema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konkurencije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državnom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mnogim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uslugama</w:t>
      </w:r>
      <w:proofErr w:type="spellEnd"/>
      <w:r w:rsidRPr="000826E8">
        <w:rPr>
          <w:rFonts w:eastAsiaTheme="minorHAnsi"/>
          <w:lang w:val="en-GB" w:eastAsia="en-US"/>
        </w:rPr>
        <w:t>)</w:t>
      </w:r>
    </w:p>
    <w:p w:rsidR="000826E8" w:rsidRPr="000826E8" w:rsidRDefault="000826E8" w:rsidP="000826E8">
      <w:pPr>
        <w:spacing w:line="259" w:lineRule="auto"/>
        <w:ind w:left="1068"/>
        <w:contextualSpacing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ind w:left="720"/>
        <w:contextualSpacing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2. 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paralelni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rad </w:t>
      </w:r>
      <w:proofErr w:type="spellStart"/>
      <w:r w:rsidRPr="000826E8">
        <w:rPr>
          <w:rFonts w:eastAsiaTheme="minorHAnsi"/>
          <w:lang w:val="en-GB" w:eastAsia="en-US"/>
        </w:rPr>
        <w:t>zdravstvenih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radnika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privatnoj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praksi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</w:p>
    <w:p w:rsidR="000826E8" w:rsidRPr="000826E8" w:rsidRDefault="000826E8" w:rsidP="000826E8">
      <w:pPr>
        <w:spacing w:line="259" w:lineRule="auto"/>
        <w:ind w:left="708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Rizični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faktori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na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kojima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temeljila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odluka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odabir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ovog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>:</w:t>
      </w:r>
    </w:p>
    <w:p w:rsidR="000826E8" w:rsidRPr="000826E8" w:rsidRDefault="000826E8" w:rsidP="000826E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nedostatak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transparentnosti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nemoguće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pratiti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upućivanje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pacijenata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javnog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privatni</w:t>
      </w:r>
      <w:proofErr w:type="spellEnd"/>
      <w:r w:rsidRPr="000826E8">
        <w:rPr>
          <w:rFonts w:eastAsiaTheme="minorHAnsi"/>
          <w:lang w:val="en-GB" w:eastAsia="en-US"/>
        </w:rPr>
        <w:t>)</w:t>
      </w:r>
    </w:p>
    <w:p w:rsidR="000826E8" w:rsidRPr="000826E8" w:rsidRDefault="000826E8" w:rsidP="000826E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mogući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nedostatak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odgovornosti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može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povećati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odsutnost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radnika</w:t>
      </w:r>
      <w:proofErr w:type="spellEnd"/>
      <w:r w:rsidRPr="000826E8">
        <w:rPr>
          <w:rFonts w:eastAsiaTheme="minorHAnsi"/>
          <w:lang w:val="en-GB" w:eastAsia="en-US"/>
        </w:rPr>
        <w:t xml:space="preserve"> s </w:t>
      </w:r>
      <w:proofErr w:type="spellStart"/>
      <w:r w:rsidRPr="000826E8">
        <w:rPr>
          <w:rFonts w:eastAsiaTheme="minorHAnsi"/>
          <w:lang w:val="en-GB" w:eastAsia="en-US"/>
        </w:rPr>
        <w:t>redovnog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javnom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utjecati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čekanja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javnom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sektoru</w:t>
      </w:r>
      <w:proofErr w:type="spellEnd"/>
      <w:r w:rsidRPr="000826E8">
        <w:rPr>
          <w:rFonts w:eastAsiaTheme="minorHAnsi"/>
          <w:lang w:val="en-GB" w:eastAsia="en-US"/>
        </w:rPr>
        <w:t>)</w:t>
      </w:r>
    </w:p>
    <w:p w:rsidR="000826E8" w:rsidRPr="000826E8" w:rsidRDefault="000826E8" w:rsidP="000826E8">
      <w:pPr>
        <w:spacing w:line="259" w:lineRule="auto"/>
        <w:ind w:left="708"/>
        <w:jc w:val="both"/>
        <w:rPr>
          <w:rFonts w:eastAsiaTheme="minorHAnsi"/>
          <w:b/>
          <w:lang w:val="en-GB" w:eastAsia="en-US"/>
        </w:rPr>
      </w:pPr>
      <w:proofErr w:type="spellStart"/>
      <w:r w:rsidRPr="000826E8">
        <w:rPr>
          <w:rFonts w:eastAsiaTheme="minorHAnsi"/>
          <w:b/>
          <w:lang w:val="en-GB" w:eastAsia="en-US"/>
        </w:rPr>
        <w:lastRenderedPageBreak/>
        <w:t>Procjena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vjerojatnosti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pojave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korupcije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b/>
          <w:lang w:val="en-GB" w:eastAsia="en-US"/>
        </w:rPr>
        <w:t>pojedinom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identificiranom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području</w:t>
      </w:r>
      <w:proofErr w:type="spellEnd"/>
    </w:p>
    <w:p w:rsidR="000826E8" w:rsidRPr="000826E8" w:rsidRDefault="000826E8" w:rsidP="000826E8">
      <w:pPr>
        <w:spacing w:line="259" w:lineRule="auto"/>
        <w:ind w:left="708"/>
        <w:jc w:val="both"/>
        <w:rPr>
          <w:rFonts w:eastAsiaTheme="minorHAnsi"/>
          <w:b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Kako</w:t>
      </w:r>
      <w:proofErr w:type="spellEnd"/>
      <w:r w:rsidRPr="000826E8">
        <w:rPr>
          <w:rFonts w:eastAsiaTheme="minorHAnsi"/>
          <w:lang w:val="en-GB" w:eastAsia="en-US"/>
        </w:rPr>
        <w:t xml:space="preserve"> bi se </w:t>
      </w:r>
      <w:proofErr w:type="spellStart"/>
      <w:r w:rsidRPr="000826E8">
        <w:rPr>
          <w:rFonts w:eastAsiaTheme="minorHAnsi"/>
          <w:lang w:val="en-GB" w:eastAsia="en-US"/>
        </w:rPr>
        <w:t>osigurala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kvaliteta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potrebno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jednako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koristiti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kvantitativne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kvalitativne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podataka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te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objektivne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percepcijskih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podatke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Metodologije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mogu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biti</w:t>
      </w:r>
      <w:proofErr w:type="spellEnd"/>
      <w:r w:rsidRPr="000826E8">
        <w:rPr>
          <w:rFonts w:eastAsiaTheme="minorHAnsi"/>
          <w:lang w:val="en-GB" w:eastAsia="en-US"/>
        </w:rPr>
        <w:t>:</w:t>
      </w:r>
    </w:p>
    <w:p w:rsidR="000826E8" w:rsidRPr="000826E8" w:rsidRDefault="000826E8" w:rsidP="000826E8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Provođenje</w:t>
      </w:r>
      <w:proofErr w:type="spellEnd"/>
      <w:r w:rsidRPr="000826E8">
        <w:rPr>
          <w:rFonts w:eastAsiaTheme="minorHAnsi"/>
          <w:lang w:val="en-GB" w:eastAsia="en-US"/>
        </w:rPr>
        <w:t xml:space="preserve"> “desk-based” </w:t>
      </w:r>
      <w:proofErr w:type="spellStart"/>
      <w:r w:rsidRPr="000826E8">
        <w:rPr>
          <w:rFonts w:eastAsiaTheme="minorHAnsi"/>
          <w:lang w:val="en-GB" w:eastAsia="en-US"/>
        </w:rPr>
        <w:t>pregleda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informacija</w:t>
      </w:r>
      <w:proofErr w:type="spellEnd"/>
    </w:p>
    <w:p w:rsidR="000826E8" w:rsidRPr="000826E8" w:rsidRDefault="000826E8" w:rsidP="000826E8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Intervjuiranje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sudionika</w:t>
      </w:r>
      <w:proofErr w:type="spellEnd"/>
    </w:p>
    <w:p w:rsidR="000826E8" w:rsidRPr="000826E8" w:rsidRDefault="000826E8" w:rsidP="000826E8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Organiziranje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fokus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grupa</w:t>
      </w:r>
      <w:proofErr w:type="spellEnd"/>
    </w:p>
    <w:p w:rsidR="000826E8" w:rsidRPr="000826E8" w:rsidRDefault="000826E8" w:rsidP="000826E8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Provođenje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anketa</w:t>
      </w:r>
      <w:proofErr w:type="spellEnd"/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Postoji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nekoliko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poteškoća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prikupljanju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objektivnih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podataka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ovo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područje</w:t>
      </w:r>
      <w:proofErr w:type="spellEnd"/>
      <w:r w:rsidRPr="000826E8">
        <w:rPr>
          <w:rFonts w:eastAsiaTheme="minorHAnsi"/>
          <w:lang w:val="en-GB" w:eastAsia="en-US"/>
        </w:rPr>
        <w:t xml:space="preserve">: </w:t>
      </w:r>
      <w:proofErr w:type="spellStart"/>
      <w:r w:rsidRPr="000826E8">
        <w:rPr>
          <w:rFonts w:eastAsiaTheme="minorHAnsi"/>
          <w:lang w:val="en-GB" w:eastAsia="en-US"/>
        </w:rPr>
        <w:t>administrativni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sustav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preslab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prikupljanje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podataka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npr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  <w:proofErr w:type="spellStart"/>
      <w:r w:rsidRPr="000826E8">
        <w:rPr>
          <w:rFonts w:eastAsiaTheme="minorHAnsi"/>
          <w:lang w:val="en-GB" w:eastAsia="en-US"/>
        </w:rPr>
        <w:t>prisutnost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na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radu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javnom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sektoru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paralelnog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rada</w:t>
      </w:r>
      <w:proofErr w:type="spellEnd"/>
      <w:r w:rsidRPr="000826E8">
        <w:rPr>
          <w:rFonts w:eastAsiaTheme="minorHAnsi"/>
          <w:lang w:val="en-GB" w:eastAsia="en-US"/>
        </w:rPr>
        <w:t xml:space="preserve">), a </w:t>
      </w:r>
      <w:proofErr w:type="spellStart"/>
      <w:r w:rsidRPr="000826E8">
        <w:rPr>
          <w:rFonts w:eastAsiaTheme="minorHAnsi"/>
          <w:lang w:val="en-GB" w:eastAsia="en-US"/>
        </w:rPr>
        <w:t>koruptivne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radnje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obično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skrivaju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Tako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vjerojatnosti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pojave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zdravstvenim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sustavima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uobičajeno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uključuju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istraživanje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percepcije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ankete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kućanstava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javnih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rashoda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r w:rsidRPr="000826E8">
        <w:rPr>
          <w:rFonts w:eastAsiaTheme="minorHAnsi"/>
          <w:lang w:val="en-GB" w:eastAsia="en-US"/>
        </w:rPr>
        <w:t>prikupljanje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kvalitativnih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podataka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pregled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kontrolnih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sustava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Pregled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ključnih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alata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identificiranje</w:t>
      </w:r>
      <w:proofErr w:type="spellEnd"/>
      <w:r w:rsidRPr="000826E8">
        <w:rPr>
          <w:rFonts w:eastAsiaTheme="minorHAnsi"/>
          <w:lang w:val="en-GB" w:eastAsia="en-US"/>
        </w:rPr>
        <w:t xml:space="preserve">,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praćenje</w:t>
      </w:r>
      <w:proofErr w:type="spellEnd"/>
      <w:r w:rsidRPr="000826E8">
        <w:rPr>
          <w:rFonts w:eastAsiaTheme="minorHAnsi"/>
          <w:lang w:val="en-GB" w:eastAsia="en-US"/>
        </w:rPr>
        <w:t xml:space="preserve"> 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mjerenje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5529"/>
      </w:tblGrid>
      <w:tr w:rsidR="000826E8" w:rsidRPr="000826E8" w:rsidTr="00FB3CCF">
        <w:tc>
          <w:tcPr>
            <w:tcW w:w="3510" w:type="dxa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rPr>
                <w:rFonts w:eastAsiaTheme="minorHAnsi"/>
                <w:iCs/>
                <w:lang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nefomalna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plaćanja</w:t>
            </w:r>
            <w:proofErr w:type="spellEnd"/>
          </w:p>
        </w:tc>
        <w:tc>
          <w:tcPr>
            <w:tcW w:w="5529" w:type="dxa"/>
          </w:tcPr>
          <w:p w:rsidR="000826E8" w:rsidRPr="000826E8" w:rsidRDefault="000826E8" w:rsidP="000826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iCs/>
                <w:lang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Ankete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o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kućanstvima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(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npr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.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ankete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Svjetske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banke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mjerenje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životnih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standarda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demografske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zdravstvene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ankete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>)</w:t>
            </w:r>
          </w:p>
          <w:p w:rsidR="000826E8" w:rsidRPr="000826E8" w:rsidRDefault="000826E8" w:rsidP="000826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iCs/>
                <w:lang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Fokus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grupe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/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intervjui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s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pružateljima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usluga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/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pacijentima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zdravstvenim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osobljem</w:t>
            </w:r>
            <w:proofErr w:type="spellEnd"/>
          </w:p>
          <w:p w:rsidR="000826E8" w:rsidRPr="000826E8" w:rsidRDefault="000826E8" w:rsidP="000826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iCs/>
                <w:lang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ispitivanja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o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upravljanju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anti-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u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zemljama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(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Svjetska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banka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>)</w:t>
            </w:r>
          </w:p>
        </w:tc>
      </w:tr>
      <w:tr w:rsidR="000826E8" w:rsidRPr="000826E8" w:rsidTr="00FB3CCF">
        <w:tc>
          <w:tcPr>
            <w:tcW w:w="3510" w:type="dxa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percepcija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korupcije</w:t>
            </w:r>
            <w:proofErr w:type="spellEnd"/>
          </w:p>
        </w:tc>
        <w:tc>
          <w:tcPr>
            <w:tcW w:w="5529" w:type="dxa"/>
          </w:tcPr>
          <w:p w:rsidR="000826E8" w:rsidRPr="000826E8" w:rsidRDefault="000826E8" w:rsidP="000826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ispitivanja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o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upravljanju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anti-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u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zemljama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(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Svjetska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banka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>)</w:t>
            </w:r>
          </w:p>
          <w:p w:rsidR="000826E8" w:rsidRPr="000826E8" w:rsidRDefault="000826E8" w:rsidP="000826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nacionalna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istraživanja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razine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percepcije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korupcije</w:t>
            </w:r>
            <w:proofErr w:type="spellEnd"/>
          </w:p>
        </w:tc>
      </w:tr>
      <w:tr w:rsidR="000826E8" w:rsidRPr="000826E8" w:rsidTr="00FB3CCF">
        <w:trPr>
          <w:trHeight w:val="1378"/>
        </w:trPr>
        <w:tc>
          <w:tcPr>
            <w:tcW w:w="3510" w:type="dxa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iskustvo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korupcije</w:t>
            </w:r>
            <w:proofErr w:type="spellEnd"/>
          </w:p>
        </w:tc>
        <w:tc>
          <w:tcPr>
            <w:tcW w:w="5529" w:type="dxa"/>
          </w:tcPr>
          <w:p w:rsidR="000826E8" w:rsidRPr="000826E8" w:rsidRDefault="000826E8" w:rsidP="000826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EuroBarometer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, </w:t>
            </w:r>
          </w:p>
          <w:p w:rsidR="000826E8" w:rsidRPr="000826E8" w:rsidRDefault="000826E8" w:rsidP="000826E8">
            <w:pPr>
              <w:autoSpaceDE w:val="0"/>
              <w:autoSpaceDN w:val="0"/>
              <w:adjustRightInd w:val="0"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nacionalna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ispitivanja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iskustva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s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korupcijom</w:t>
            </w:r>
            <w:proofErr w:type="spellEnd"/>
          </w:p>
          <w:p w:rsidR="000826E8" w:rsidRPr="000826E8" w:rsidRDefault="000826E8" w:rsidP="000826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ankete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izvješća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o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zadovoljstvu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pacijenata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</w:p>
          <w:p w:rsidR="000826E8" w:rsidRPr="000826E8" w:rsidRDefault="000826E8" w:rsidP="000826E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eastAsiaTheme="minorHAnsi"/>
                <w:lang w:val="en-GB" w:eastAsia="en-US"/>
              </w:rPr>
            </w:pPr>
            <w:proofErr w:type="spellStart"/>
            <w:r w:rsidRPr="000826E8">
              <w:rPr>
                <w:rFonts w:eastAsiaTheme="minorHAnsi"/>
                <w:lang w:val="en-GB" w:eastAsia="en-US"/>
              </w:rPr>
              <w:t>ankete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i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studije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fokus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  <w:proofErr w:type="spellStart"/>
            <w:r w:rsidRPr="000826E8">
              <w:rPr>
                <w:rFonts w:eastAsiaTheme="minorHAnsi"/>
                <w:lang w:val="en-GB" w:eastAsia="en-US"/>
              </w:rPr>
              <w:t>grupa</w:t>
            </w:r>
            <w:proofErr w:type="spellEnd"/>
            <w:r w:rsidRPr="000826E8">
              <w:rPr>
                <w:rFonts w:eastAsiaTheme="minorHAnsi"/>
                <w:lang w:val="en-GB" w:eastAsia="en-US"/>
              </w:rPr>
              <w:t xml:space="preserve"> </w:t>
            </w:r>
          </w:p>
        </w:tc>
      </w:tr>
    </w:tbl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i/>
          <w:lang w:val="en-GB" w:eastAsia="en-US"/>
        </w:rPr>
      </w:pPr>
      <w:proofErr w:type="spellStart"/>
      <w:r w:rsidRPr="000826E8">
        <w:rPr>
          <w:rFonts w:eastAsiaTheme="minorHAnsi"/>
          <w:sz w:val="20"/>
          <w:szCs w:val="20"/>
          <w:lang w:val="en-GB" w:eastAsia="en-US"/>
        </w:rPr>
        <w:t>Adaptirano</w:t>
      </w:r>
      <w:proofErr w:type="spellEnd"/>
      <w:r w:rsidRPr="000826E8">
        <w:rPr>
          <w:rFonts w:eastAsiaTheme="minorHAnsi"/>
          <w:sz w:val="20"/>
          <w:szCs w:val="20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sz w:val="20"/>
          <w:szCs w:val="20"/>
          <w:lang w:val="en-GB" w:eastAsia="en-US"/>
        </w:rPr>
        <w:t>prema</w:t>
      </w:r>
      <w:proofErr w:type="spellEnd"/>
      <w:r w:rsidRPr="000826E8">
        <w:rPr>
          <w:rFonts w:eastAsiaTheme="minorHAnsi"/>
          <w:sz w:val="20"/>
          <w:szCs w:val="20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sz w:val="20"/>
          <w:szCs w:val="20"/>
          <w:lang w:val="en-GB" w:eastAsia="en-US"/>
        </w:rPr>
        <w:t>izvoru</w:t>
      </w:r>
      <w:proofErr w:type="spellEnd"/>
      <w:r w:rsidRPr="000826E8">
        <w:rPr>
          <w:rFonts w:eastAsiaTheme="minorHAnsi"/>
          <w:sz w:val="20"/>
          <w:szCs w:val="20"/>
          <w:lang w:val="en-GB" w:eastAsia="en-US"/>
        </w:rPr>
        <w:t xml:space="preserve">: </w:t>
      </w:r>
      <w:r w:rsidRPr="000826E8">
        <w:rPr>
          <w:rFonts w:eastAsiaTheme="minorHAnsi"/>
          <w:i/>
          <w:sz w:val="20"/>
          <w:szCs w:val="20"/>
          <w:lang w:val="en-GB" w:eastAsia="en-US"/>
        </w:rPr>
        <w:t xml:space="preserve">Hussmann, K (2010). Adapted from Lewis, M., &amp; </w:t>
      </w:r>
      <w:proofErr w:type="spellStart"/>
      <w:r w:rsidRPr="000826E8">
        <w:rPr>
          <w:rFonts w:eastAsiaTheme="minorHAnsi"/>
          <w:i/>
          <w:sz w:val="20"/>
          <w:szCs w:val="20"/>
          <w:lang w:val="en-GB" w:eastAsia="en-US"/>
        </w:rPr>
        <w:t>Pettersson</w:t>
      </w:r>
      <w:proofErr w:type="spellEnd"/>
      <w:r w:rsidRPr="000826E8">
        <w:rPr>
          <w:rFonts w:eastAsiaTheme="minorHAnsi"/>
          <w:i/>
          <w:sz w:val="20"/>
          <w:szCs w:val="20"/>
          <w:lang w:val="en-GB" w:eastAsia="en-US"/>
        </w:rPr>
        <w:t>, G. (2009). ‘Governance in health care delivery: raising performance’. World Bank Policy Research Working Paper 5074</w:t>
      </w:r>
      <w:r w:rsidRPr="000826E8">
        <w:rPr>
          <w:rFonts w:eastAsiaTheme="minorHAnsi"/>
          <w:i/>
          <w:lang w:val="en-GB" w:eastAsia="en-US"/>
        </w:rPr>
        <w:t>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r w:rsidRPr="000826E8">
        <w:rPr>
          <w:rFonts w:eastAsiaTheme="minorHAnsi"/>
          <w:lang w:val="en-GB" w:eastAsia="en-US"/>
        </w:rPr>
        <w:t xml:space="preserve">U </w:t>
      </w:r>
      <w:proofErr w:type="spellStart"/>
      <w:r w:rsidRPr="000826E8">
        <w:rPr>
          <w:rFonts w:eastAsiaTheme="minorHAnsi"/>
          <w:lang w:val="en-GB" w:eastAsia="en-US"/>
        </w:rPr>
        <w:t>cilju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vjerojatnosti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kreiran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upitnik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kojim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će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anketirano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javno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mijenje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percepciji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korupcije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kao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stvarnom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iskustvu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građana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stavovima</w:t>
      </w:r>
      <w:proofErr w:type="spellEnd"/>
      <w:r w:rsidRPr="000826E8">
        <w:rPr>
          <w:rFonts w:eastAsiaTheme="minorHAnsi"/>
          <w:lang w:val="en-GB" w:eastAsia="en-US"/>
        </w:rPr>
        <w:t xml:space="preserve"> o </w:t>
      </w:r>
      <w:proofErr w:type="spellStart"/>
      <w:r w:rsidRPr="000826E8">
        <w:rPr>
          <w:rFonts w:eastAsiaTheme="minorHAnsi"/>
          <w:lang w:val="en-GB" w:eastAsia="en-US"/>
        </w:rPr>
        <w:t>korupciji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zdravstvu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lang w:val="en-GB" w:eastAsia="en-US"/>
        </w:rPr>
        <w:t>upitnik</w:t>
      </w:r>
      <w:proofErr w:type="spellEnd"/>
      <w:r w:rsidRPr="000826E8">
        <w:rPr>
          <w:rFonts w:eastAsiaTheme="minorHAnsi"/>
          <w:lang w:val="en-GB" w:eastAsia="en-US"/>
        </w:rPr>
        <w:t xml:space="preserve"> u </w:t>
      </w:r>
      <w:proofErr w:type="spellStart"/>
      <w:r w:rsidRPr="000826E8">
        <w:rPr>
          <w:rFonts w:eastAsiaTheme="minorHAnsi"/>
          <w:lang w:val="en-GB" w:eastAsia="en-US"/>
        </w:rPr>
        <w:t>privitku</w:t>
      </w:r>
      <w:proofErr w:type="spellEnd"/>
      <w:r w:rsidRPr="000826E8">
        <w:rPr>
          <w:rFonts w:eastAsiaTheme="minorHAnsi"/>
          <w:lang w:val="en-GB" w:eastAsia="en-US"/>
        </w:rPr>
        <w:t>).</w:t>
      </w:r>
    </w:p>
    <w:p w:rsidR="000826E8" w:rsidRPr="000826E8" w:rsidRDefault="000826E8" w:rsidP="000826E8">
      <w:pPr>
        <w:spacing w:line="259" w:lineRule="auto"/>
        <w:jc w:val="both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Anketa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će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biti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anonimna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planirano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obuhvatiti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reprezentativni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uzorak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korisnika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pružatelja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zdravstvenih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usluga</w:t>
      </w:r>
      <w:proofErr w:type="spellEnd"/>
      <w:r w:rsidRPr="000826E8">
        <w:rPr>
          <w:rFonts w:eastAsiaTheme="minorHAnsi"/>
          <w:lang w:val="en-GB" w:eastAsia="en-US"/>
        </w:rPr>
        <w:t xml:space="preserve">. </w:t>
      </w:r>
    </w:p>
    <w:p w:rsidR="000826E8" w:rsidRPr="000826E8" w:rsidRDefault="000826E8" w:rsidP="000826E8">
      <w:pPr>
        <w:spacing w:after="160"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after="160"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after="160" w:line="259" w:lineRule="auto"/>
        <w:jc w:val="both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ind w:left="708"/>
        <w:rPr>
          <w:rFonts w:eastAsiaTheme="minorHAnsi"/>
          <w:b/>
          <w:lang w:val="en-GB" w:eastAsia="en-US"/>
        </w:rPr>
      </w:pPr>
      <w:proofErr w:type="spellStart"/>
      <w:r w:rsidRPr="000826E8">
        <w:rPr>
          <w:rFonts w:eastAsiaTheme="minorHAnsi"/>
          <w:b/>
          <w:lang w:val="en-GB" w:eastAsia="en-US"/>
        </w:rPr>
        <w:lastRenderedPageBreak/>
        <w:t>Procjena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ozbiljnosti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b/>
          <w:lang w:val="en-GB" w:eastAsia="en-US"/>
        </w:rPr>
        <w:t>rizika</w:t>
      </w:r>
      <w:proofErr w:type="spellEnd"/>
      <w:r w:rsidRPr="000826E8">
        <w:rPr>
          <w:rFonts w:eastAsiaTheme="minorHAnsi"/>
          <w:b/>
          <w:lang w:val="en-GB" w:eastAsia="en-US"/>
        </w:rPr>
        <w:t xml:space="preserve"> </w:t>
      </w: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b/>
          <w:lang w:val="en-GB"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Procjena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ozbiljnosti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pojedino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područje</w:t>
      </w:r>
      <w:proofErr w:type="spellEnd"/>
      <w:r w:rsidRPr="000826E8">
        <w:rPr>
          <w:rFonts w:eastAsiaTheme="minorHAnsi"/>
          <w:lang w:val="en-GB" w:eastAsia="en-US"/>
        </w:rPr>
        <w:t>/</w:t>
      </w:r>
      <w:proofErr w:type="spellStart"/>
      <w:r w:rsidRPr="000826E8">
        <w:rPr>
          <w:rFonts w:eastAsiaTheme="minorHAnsi"/>
          <w:lang w:val="en-GB" w:eastAsia="en-US"/>
        </w:rPr>
        <w:t>sektor</w:t>
      </w:r>
      <w:proofErr w:type="spellEnd"/>
      <w:r w:rsidRPr="000826E8">
        <w:rPr>
          <w:rFonts w:eastAsiaTheme="minorHAnsi"/>
          <w:lang w:val="en-GB" w:eastAsia="en-US"/>
        </w:rPr>
        <w:t xml:space="preserve"> je </w:t>
      </w:r>
      <w:proofErr w:type="spellStart"/>
      <w:r w:rsidRPr="000826E8">
        <w:rPr>
          <w:rFonts w:eastAsiaTheme="minorHAnsi"/>
          <w:lang w:val="en-GB" w:eastAsia="en-US"/>
        </w:rPr>
        <w:t>kompleksan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često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nije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moguće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kvanitificirati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sve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učinke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pojedinih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korupcijskih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0826E8">
        <w:rPr>
          <w:rFonts w:eastAsiaTheme="minorHAnsi"/>
          <w:lang w:val="en-GB" w:eastAsia="en-US"/>
        </w:rPr>
        <w:t>Ako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pogledamo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jednu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od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definicija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koja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učestalo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koristi</w:t>
      </w:r>
      <w:proofErr w:type="spellEnd"/>
      <w:r w:rsidRPr="000826E8">
        <w:rPr>
          <w:rFonts w:eastAsiaTheme="minorHAnsi"/>
          <w:lang w:val="en-GB" w:eastAsia="en-US"/>
        </w:rPr>
        <w:t xml:space="preserve"> :</w:t>
      </w:r>
      <w:proofErr w:type="gram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mogućnost</w:t>
      </w:r>
      <w:proofErr w:type="spellEnd"/>
      <w:r w:rsidRPr="000826E8">
        <w:rPr>
          <w:rFonts w:eastAsiaTheme="minorHAnsi"/>
          <w:lang w:val="en-GB" w:eastAsia="en-US"/>
        </w:rPr>
        <w:t xml:space="preserve"> da </w:t>
      </w:r>
      <w:proofErr w:type="spellStart"/>
      <w:r w:rsidRPr="000826E8">
        <w:rPr>
          <w:rFonts w:eastAsiaTheme="minorHAnsi"/>
          <w:lang w:val="en-GB" w:eastAsia="en-US"/>
        </w:rPr>
        <w:t>će</w:t>
      </w:r>
      <w:proofErr w:type="spell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događaj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dogoditi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negativno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utjecati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na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postizanje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ciljeva</w:t>
      </w:r>
      <w:proofErr w:type="spellEnd"/>
      <w:r w:rsidRPr="000826E8">
        <w:rPr>
          <w:rFonts w:eastAsiaTheme="minorHAnsi"/>
          <w:lang w:val="en-GB" w:eastAsia="en-US"/>
        </w:rPr>
        <w:t xml:space="preserve"> (</w:t>
      </w:r>
      <w:proofErr w:type="spellStart"/>
      <w:r w:rsidRPr="000826E8">
        <w:rPr>
          <w:rFonts w:eastAsiaTheme="minorHAnsi"/>
          <w:i/>
          <w:lang w:eastAsia="en-US"/>
        </w:rPr>
        <w:t>Internal</w:t>
      </w:r>
      <w:proofErr w:type="spellEnd"/>
      <w:r w:rsidRPr="000826E8">
        <w:rPr>
          <w:rFonts w:eastAsiaTheme="minorHAnsi"/>
          <w:i/>
          <w:lang w:eastAsia="en-US"/>
        </w:rPr>
        <w:t xml:space="preserve"> </w:t>
      </w:r>
      <w:proofErr w:type="spellStart"/>
      <w:r w:rsidRPr="000826E8">
        <w:rPr>
          <w:rFonts w:eastAsiaTheme="minorHAnsi"/>
          <w:i/>
          <w:lang w:eastAsia="en-US"/>
        </w:rPr>
        <w:t>Control</w:t>
      </w:r>
      <w:proofErr w:type="spellEnd"/>
      <w:r w:rsidRPr="000826E8">
        <w:rPr>
          <w:rFonts w:eastAsiaTheme="minorHAnsi"/>
          <w:i/>
          <w:lang w:eastAsia="en-US"/>
        </w:rPr>
        <w:t xml:space="preserve"> – </w:t>
      </w:r>
      <w:proofErr w:type="spellStart"/>
      <w:r w:rsidRPr="000826E8">
        <w:rPr>
          <w:rFonts w:eastAsiaTheme="minorHAnsi"/>
          <w:i/>
          <w:lang w:eastAsia="en-US"/>
        </w:rPr>
        <w:t>Integrated</w:t>
      </w:r>
      <w:proofErr w:type="spellEnd"/>
      <w:r w:rsidRPr="000826E8">
        <w:rPr>
          <w:rFonts w:eastAsiaTheme="minorHAnsi"/>
          <w:i/>
          <w:lang w:eastAsia="en-US"/>
        </w:rPr>
        <w:t xml:space="preserve"> Framework </w:t>
      </w:r>
      <w:r w:rsidRPr="000826E8">
        <w:rPr>
          <w:rFonts w:eastAsiaTheme="minorHAnsi"/>
          <w:lang w:eastAsia="en-US"/>
        </w:rPr>
        <w:t xml:space="preserve">COSO6) i bez kvantitativne analize možemo zaključiti da oba identificirana rizika imaju </w:t>
      </w:r>
      <w:proofErr w:type="spellStart"/>
      <w:r w:rsidRPr="000826E8">
        <w:rPr>
          <w:rFonts w:eastAsiaTheme="minorHAnsi"/>
          <w:lang w:eastAsia="en-US"/>
        </w:rPr>
        <w:t>multifaktorijalni</w:t>
      </w:r>
      <w:proofErr w:type="spellEnd"/>
      <w:r w:rsidRPr="000826E8">
        <w:rPr>
          <w:rFonts w:eastAsiaTheme="minorHAnsi"/>
          <w:lang w:eastAsia="en-US"/>
        </w:rPr>
        <w:t xml:space="preserve"> utjecaj na zdravstvo: financijski, pravni, etički. S toga smatramo da opravdano možemo zaključiti kako je ozbiljnost ovih rizika velika.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26E8">
        <w:rPr>
          <w:rFonts w:eastAsiaTheme="minorHAnsi"/>
          <w:lang w:eastAsia="en-US"/>
        </w:rPr>
        <w:t>Matrica ocjene rizika</w:t>
      </w: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7"/>
        <w:gridCol w:w="1309"/>
        <w:gridCol w:w="1291"/>
        <w:gridCol w:w="1274"/>
        <w:gridCol w:w="1284"/>
        <w:gridCol w:w="1292"/>
        <w:gridCol w:w="1275"/>
      </w:tblGrid>
      <w:tr w:rsidR="000826E8" w:rsidRPr="000826E8" w:rsidTr="00FB3CCF"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Ozbiljnost</w:t>
            </w:r>
          </w:p>
        </w:tc>
        <w:tc>
          <w:tcPr>
            <w:tcW w:w="796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Učestalost pojave korupcije</w:t>
            </w:r>
          </w:p>
        </w:tc>
      </w:tr>
      <w:tr w:rsidR="000826E8" w:rsidRPr="000826E8" w:rsidTr="00FB3CCF">
        <w:trPr>
          <w:trHeight w:val="414"/>
        </w:trPr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1. Liste čekanja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2. Paralelni rad</w:t>
            </w:r>
          </w:p>
        </w:tc>
      </w:tr>
      <w:tr w:rsidR="000826E8" w:rsidRPr="000826E8" w:rsidTr="00FB3CCF">
        <w:tc>
          <w:tcPr>
            <w:tcW w:w="132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velika</w:t>
            </w:r>
          </w:p>
        </w:tc>
        <w:tc>
          <w:tcPr>
            <w:tcW w:w="1322" w:type="dxa"/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srednja</w:t>
            </w:r>
          </w:p>
        </w:tc>
        <w:tc>
          <w:tcPr>
            <w:tcW w:w="1322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mala</w:t>
            </w:r>
          </w:p>
        </w:tc>
        <w:tc>
          <w:tcPr>
            <w:tcW w:w="1323" w:type="dxa"/>
            <w:tcBorders>
              <w:lef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velika</w:t>
            </w:r>
          </w:p>
        </w:tc>
        <w:tc>
          <w:tcPr>
            <w:tcW w:w="1323" w:type="dxa"/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srednja</w:t>
            </w:r>
          </w:p>
        </w:tc>
        <w:tc>
          <w:tcPr>
            <w:tcW w:w="1323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mala</w:t>
            </w:r>
          </w:p>
        </w:tc>
      </w:tr>
      <w:tr w:rsidR="000826E8" w:rsidRPr="000826E8" w:rsidTr="00FB3CCF">
        <w:tc>
          <w:tcPr>
            <w:tcW w:w="132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velika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clear" w:color="auto" w:fill="FF000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shd w:val="clear" w:color="auto" w:fill="FFFF0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tcBorders>
              <w:right w:val="double" w:sz="4" w:space="0" w:color="auto"/>
            </w:tcBorders>
            <w:shd w:val="clear" w:color="auto" w:fill="92D05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  <w:shd w:val="clear" w:color="auto" w:fill="FF000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shd w:val="clear" w:color="auto" w:fill="FFFF0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shd w:val="clear" w:color="auto" w:fill="92D050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826E8" w:rsidRPr="000826E8" w:rsidTr="00FB3CCF">
        <w:tc>
          <w:tcPr>
            <w:tcW w:w="132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srednja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lef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righ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0826E8" w:rsidRPr="000826E8" w:rsidTr="00FB3CCF">
        <w:tc>
          <w:tcPr>
            <w:tcW w:w="13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826E8">
              <w:rPr>
                <w:rFonts w:eastAsiaTheme="minorHAnsi"/>
                <w:lang w:eastAsia="en-US"/>
              </w:rPr>
              <w:t>mala</w:t>
            </w:r>
          </w:p>
        </w:tc>
        <w:tc>
          <w:tcPr>
            <w:tcW w:w="13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bottom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826E8" w:rsidRPr="000826E8" w:rsidRDefault="000826E8" w:rsidP="000826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</w:p>
    <w:p w:rsidR="000826E8" w:rsidRPr="000826E8" w:rsidRDefault="000826E8" w:rsidP="000826E8">
      <w:pPr>
        <w:spacing w:line="259" w:lineRule="auto"/>
        <w:rPr>
          <w:rFonts w:eastAsiaTheme="minorHAnsi"/>
          <w:lang w:val="en-GB" w:eastAsia="en-US"/>
        </w:rPr>
      </w:pPr>
      <w:proofErr w:type="spellStart"/>
      <w:r w:rsidRPr="000826E8">
        <w:rPr>
          <w:rFonts w:eastAsiaTheme="minorHAnsi"/>
          <w:lang w:val="en-GB" w:eastAsia="en-US"/>
        </w:rPr>
        <w:t>Nakon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završenog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postupka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ocjene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pristupit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proofErr w:type="gramStart"/>
      <w:r w:rsidRPr="000826E8">
        <w:rPr>
          <w:rFonts w:eastAsiaTheme="minorHAnsi"/>
          <w:lang w:val="en-GB" w:eastAsia="en-US"/>
        </w:rPr>
        <w:t>će</w:t>
      </w:r>
      <w:proofErr w:type="spellEnd"/>
      <w:proofErr w:type="gramEnd"/>
      <w:r w:rsidRPr="000826E8">
        <w:rPr>
          <w:rFonts w:eastAsiaTheme="minorHAnsi"/>
          <w:lang w:val="en-GB" w:eastAsia="en-US"/>
        </w:rPr>
        <w:t xml:space="preserve"> se </w:t>
      </w:r>
      <w:proofErr w:type="spellStart"/>
      <w:r w:rsidRPr="000826E8">
        <w:rPr>
          <w:rFonts w:eastAsiaTheme="minorHAnsi"/>
          <w:lang w:val="en-GB" w:eastAsia="en-US"/>
        </w:rPr>
        <w:t>određivanju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prioritetnih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rizika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te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izradi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procesa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upravljanja</w:t>
      </w:r>
      <w:proofErr w:type="spellEnd"/>
      <w:r w:rsidRPr="000826E8">
        <w:rPr>
          <w:rFonts w:eastAsiaTheme="minorHAnsi"/>
          <w:lang w:val="en-GB" w:eastAsia="en-US"/>
        </w:rPr>
        <w:t xml:space="preserve"> </w:t>
      </w:r>
      <w:proofErr w:type="spellStart"/>
      <w:r w:rsidRPr="000826E8">
        <w:rPr>
          <w:rFonts w:eastAsiaTheme="minorHAnsi"/>
          <w:lang w:val="en-GB" w:eastAsia="en-US"/>
        </w:rPr>
        <w:t>rizicima</w:t>
      </w:r>
      <w:proofErr w:type="spellEnd"/>
      <w:r w:rsidRPr="000826E8">
        <w:rPr>
          <w:rFonts w:eastAsiaTheme="minorHAnsi"/>
          <w:lang w:val="en-GB" w:eastAsia="en-US"/>
        </w:rPr>
        <w:t>.</w:t>
      </w:r>
    </w:p>
    <w:p w:rsidR="000826E8" w:rsidRPr="000826E8" w:rsidRDefault="000826E8" w:rsidP="000826E8">
      <w:pPr>
        <w:autoSpaceDE w:val="0"/>
        <w:autoSpaceDN w:val="0"/>
        <w:adjustRightInd w:val="0"/>
        <w:rPr>
          <w:rFonts w:eastAsiaTheme="minorHAnsi"/>
          <w:lang w:val="en-GB" w:eastAsia="en-US"/>
        </w:rPr>
      </w:pPr>
    </w:p>
    <w:p w:rsidR="000826E8" w:rsidRDefault="000826E8"/>
    <w:sectPr w:rsidR="0008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45" w:rsidRDefault="009F3645" w:rsidP="000826E8">
      <w:r>
        <w:separator/>
      </w:r>
    </w:p>
  </w:endnote>
  <w:endnote w:type="continuationSeparator" w:id="0">
    <w:p w:rsidR="009F3645" w:rsidRDefault="009F3645" w:rsidP="0008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45" w:rsidRDefault="009F3645" w:rsidP="000826E8">
      <w:r>
        <w:separator/>
      </w:r>
    </w:p>
  </w:footnote>
  <w:footnote w:type="continuationSeparator" w:id="0">
    <w:p w:rsidR="009F3645" w:rsidRDefault="009F3645" w:rsidP="000826E8">
      <w:r>
        <w:continuationSeparator/>
      </w:r>
    </w:p>
  </w:footnote>
  <w:footnote w:id="1">
    <w:p w:rsidR="000826E8" w:rsidRPr="002B48ED" w:rsidRDefault="000826E8" w:rsidP="000826E8">
      <w:pPr>
        <w:pStyle w:val="Tekstfusnote"/>
        <w:rPr>
          <w:rFonts w:ascii="Times New Roman" w:hAnsi="Times New Roman" w:cs="Times New Roman"/>
          <w:lang w:val="hr-HR"/>
        </w:rPr>
      </w:pPr>
      <w:r w:rsidRPr="002B48ED">
        <w:rPr>
          <w:rStyle w:val="Referencafusnote"/>
          <w:rFonts w:ascii="Times New Roman" w:hAnsi="Times New Roman" w:cs="Times New Roman"/>
        </w:rPr>
        <w:footnoteRef/>
      </w:r>
      <w:r w:rsidRPr="002B4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Klitgaard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1988 </w:t>
      </w:r>
      <w:r w:rsidRPr="002B48ED">
        <w:rPr>
          <w:rFonts w:ascii="Times New Roman" w:hAnsi="Times New Roman" w:cs="Times New Roman"/>
          <w:shd w:val="clear" w:color="auto" w:fill="FFFFFF"/>
        </w:rPr>
        <w:t>, </w:t>
      </w:r>
      <w:hyperlink r:id="rId1" w:tgtFrame="_blank" w:tooltip="Klitgaard - Controlling Corruption" w:history="1">
        <w:r w:rsidRPr="002B48ED">
          <w:rPr>
            <w:rStyle w:val="Hiperveza"/>
            <w:rFonts w:ascii="Times New Roman" w:hAnsi="Times New Roman" w:cs="Times New Roman"/>
            <w:i/>
            <w:iCs/>
            <w:bdr w:val="none" w:sz="0" w:space="0" w:color="auto" w:frame="1"/>
            <w:shd w:val="clear" w:color="auto" w:fill="FFFFFF"/>
          </w:rPr>
          <w:t>Controlling Corruption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308F"/>
    <w:multiLevelType w:val="hybridMultilevel"/>
    <w:tmpl w:val="6EDEB8AE"/>
    <w:lvl w:ilvl="0" w:tplc="5E4C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35BE0"/>
    <w:multiLevelType w:val="hybridMultilevel"/>
    <w:tmpl w:val="67B64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2E19"/>
    <w:multiLevelType w:val="hybridMultilevel"/>
    <w:tmpl w:val="CFAC7D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4ACA"/>
    <w:multiLevelType w:val="hybridMultilevel"/>
    <w:tmpl w:val="2CAC447C"/>
    <w:lvl w:ilvl="0" w:tplc="48601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64F52"/>
    <w:multiLevelType w:val="hybridMultilevel"/>
    <w:tmpl w:val="5A5E1A80"/>
    <w:lvl w:ilvl="0" w:tplc="48601D4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6A5D2FD3"/>
    <w:multiLevelType w:val="hybridMultilevel"/>
    <w:tmpl w:val="8F94A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29EE"/>
    <w:multiLevelType w:val="hybridMultilevel"/>
    <w:tmpl w:val="9770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F6EA5"/>
    <w:multiLevelType w:val="hybridMultilevel"/>
    <w:tmpl w:val="8E4EED2A"/>
    <w:lvl w:ilvl="0" w:tplc="48601D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0D0443"/>
    <w:multiLevelType w:val="hybridMultilevel"/>
    <w:tmpl w:val="137CC252"/>
    <w:lvl w:ilvl="0" w:tplc="48601D4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71D71F16"/>
    <w:multiLevelType w:val="hybridMultilevel"/>
    <w:tmpl w:val="4C04A6DE"/>
    <w:lvl w:ilvl="0" w:tplc="48601D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E6C5450"/>
    <w:multiLevelType w:val="hybridMultilevel"/>
    <w:tmpl w:val="8F6A3730"/>
    <w:lvl w:ilvl="0" w:tplc="48601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30"/>
    <w:rsid w:val="000826E8"/>
    <w:rsid w:val="00607A78"/>
    <w:rsid w:val="009C7130"/>
    <w:rsid w:val="009F3645"/>
    <w:rsid w:val="00B37E2F"/>
    <w:rsid w:val="00E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ADD9"/>
  <w15:chartTrackingRefBased/>
  <w15:docId w15:val="{04B1170E-F473-416B-B10C-4C08000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826E8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26E8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26E8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82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azon.com/Controlling-Corruption-Robert-Klitgaard/dp/0520074084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CE8365-F32D-4CF3-AFFB-880539C94C1A}" type="doc">
      <dgm:prSet loTypeId="urn:microsoft.com/office/officeart/2005/8/layout/cycle2" loCatId="cycle" qsTypeId="urn:microsoft.com/office/officeart/2005/8/quickstyle/3d1" qsCatId="3D" csTypeId="urn:microsoft.com/office/officeart/2005/8/colors/accent4_2" csCatId="accent4" phldr="1"/>
      <dgm:spPr/>
      <dgm:t>
        <a:bodyPr/>
        <a:lstStyle/>
        <a:p>
          <a:endParaRPr lang="hr-HR"/>
        </a:p>
      </dgm:t>
    </dgm:pt>
    <dgm:pt modelId="{E7936E90-D4BC-47C7-B04C-F8B7DFFDA0C3}">
      <dgm:prSet phldrT="[Tekst]"/>
      <dgm:spPr>
        <a:xfrm>
          <a:off x="2129189" y="295"/>
          <a:ext cx="694011" cy="694011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identifikacija</a:t>
          </a:r>
        </a:p>
      </dgm:t>
    </dgm:pt>
    <dgm:pt modelId="{F6F312F7-B29A-4514-B5E5-36CB3529507E}" type="parTrans" cxnId="{7DEF9B58-696A-4942-88CA-19AC3782888B}">
      <dgm:prSet/>
      <dgm:spPr/>
      <dgm:t>
        <a:bodyPr/>
        <a:lstStyle/>
        <a:p>
          <a:endParaRPr lang="hr-HR"/>
        </a:p>
      </dgm:t>
    </dgm:pt>
    <dgm:pt modelId="{3FCD756E-703B-44C4-8CD4-D947A2874EA7}" type="sibTrans" cxnId="{7DEF9B58-696A-4942-88CA-19AC3782888B}">
      <dgm:prSet/>
      <dgm:spPr>
        <a:xfrm rot="1800000">
          <a:off x="2830748" y="488219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E3CC1C2-B1AF-4E90-857F-47657613783A}">
      <dgm:prSet phldrT="[Tekst]"/>
      <dgm:spPr>
        <a:xfrm>
          <a:off x="3032095" y="521589"/>
          <a:ext cx="694011" cy="694011"/>
        </a:xfrm>
        <a:prstGeom prst="ellipse">
          <a:avLst/>
        </a:prstGeom>
        <a:solidFill>
          <a:srgbClr val="FFC000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analiza</a:t>
          </a:r>
        </a:p>
      </dgm:t>
    </dgm:pt>
    <dgm:pt modelId="{58C8A11E-CB72-490F-B8EE-ABDCBE41B064}" type="parTrans" cxnId="{1BC6CA6B-2270-4426-A941-564CB4DA2016}">
      <dgm:prSet/>
      <dgm:spPr/>
      <dgm:t>
        <a:bodyPr/>
        <a:lstStyle/>
        <a:p>
          <a:endParaRPr lang="hr-HR"/>
        </a:p>
      </dgm:t>
    </dgm:pt>
    <dgm:pt modelId="{AC278EB4-7AF6-43B1-8600-A429CF17574F}" type="sibTrans" cxnId="{1BC6CA6B-2270-4426-A941-564CB4DA2016}">
      <dgm:prSet/>
      <dgm:spPr>
        <a:xfrm rot="5400000">
          <a:off x="3286729" y="1267544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04DBE671-7866-4DA2-A16F-44FA1373990D}">
      <dgm:prSet phldrT="[Tekst]"/>
      <dgm:spPr>
        <a:xfrm>
          <a:off x="2129189" y="2085468"/>
          <a:ext cx="694011" cy="694011"/>
        </a:xfrm>
        <a:prstGeom prst="ellipse">
          <a:avLst/>
        </a:prstGeom>
        <a:solidFill>
          <a:srgbClr val="4472C4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planiranje mjera</a:t>
          </a:r>
        </a:p>
      </dgm:t>
    </dgm:pt>
    <dgm:pt modelId="{AA7CE6FF-9291-4DB5-A00B-C35F8410CD5F}" type="parTrans" cxnId="{04166E88-C04B-4D4C-83AA-1E01768B3582}">
      <dgm:prSet/>
      <dgm:spPr/>
      <dgm:t>
        <a:bodyPr/>
        <a:lstStyle/>
        <a:p>
          <a:endParaRPr lang="hr-HR"/>
        </a:p>
      </dgm:t>
    </dgm:pt>
    <dgm:pt modelId="{EAC8E4A2-6016-4AFB-8973-0E40BDFBC501}" type="sibTrans" cxnId="{04166E88-C04B-4D4C-83AA-1E01768B3582}">
      <dgm:prSet/>
      <dgm:spPr>
        <a:xfrm rot="12600000">
          <a:off x="1936898" y="2057327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8DDF207-25FC-404D-94A4-1006D4E79865}">
      <dgm:prSet phldrT="[Tekst]"/>
      <dgm:spPr>
        <a:xfrm>
          <a:off x="1226283" y="1564175"/>
          <a:ext cx="694011" cy="694011"/>
        </a:xfrm>
        <a:prstGeom prst="ellipse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provedba mjera </a:t>
          </a:r>
        </a:p>
      </dgm:t>
    </dgm:pt>
    <dgm:pt modelId="{568F97D5-2BF4-48FC-A8C6-4B33F8C7E60B}" type="parTrans" cxnId="{D27930CB-C688-4DE2-B0FB-D6C79D2A5B0C}">
      <dgm:prSet/>
      <dgm:spPr/>
      <dgm:t>
        <a:bodyPr/>
        <a:lstStyle/>
        <a:p>
          <a:endParaRPr lang="hr-HR"/>
        </a:p>
      </dgm:t>
    </dgm:pt>
    <dgm:pt modelId="{8D71D990-4AB6-4694-93D5-5A53892F0000}" type="sibTrans" cxnId="{D27930CB-C688-4DE2-B0FB-D6C79D2A5B0C}">
      <dgm:prSet/>
      <dgm:spPr>
        <a:xfrm rot="16200000">
          <a:off x="1480917" y="1278002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25A2EA4-3AE0-4987-9C6F-0DED55B12B68}">
      <dgm:prSet phldrT="[Tekst]"/>
      <dgm:spPr>
        <a:xfrm>
          <a:off x="1226283" y="521589"/>
          <a:ext cx="694011" cy="694011"/>
        </a:xfrm>
        <a:prstGeom prst="ellipse">
          <a:avLst/>
        </a:prstGeom>
        <a:solidFill>
          <a:srgbClr val="ED7D31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kontrola provedbe</a:t>
          </a:r>
        </a:p>
      </dgm:t>
    </dgm:pt>
    <dgm:pt modelId="{9B3277AD-2039-482A-BE3D-AA6EB214E130}" type="parTrans" cxnId="{6BD7B9F5-845C-481C-8497-8EDB482CF235}">
      <dgm:prSet/>
      <dgm:spPr/>
      <dgm:t>
        <a:bodyPr/>
        <a:lstStyle/>
        <a:p>
          <a:endParaRPr lang="hr-HR"/>
        </a:p>
      </dgm:t>
    </dgm:pt>
    <dgm:pt modelId="{F6B28A92-FD2D-43BE-8B6A-A8339B262AEE}" type="sibTrans" cxnId="{6BD7B9F5-845C-481C-8497-8EDB482CF235}">
      <dgm:prSet/>
      <dgm:spPr>
        <a:xfrm rot="19800000">
          <a:off x="1927842" y="493448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F20F09D-851B-4E6E-AED6-692EB57A8B8A}">
      <dgm:prSet/>
      <dgm:spPr>
        <a:xfrm>
          <a:off x="3032095" y="1564175"/>
          <a:ext cx="694011" cy="694011"/>
        </a:xfrm>
        <a:prstGeom prst="ellipse">
          <a:avLst/>
        </a:prstGeom>
        <a:solidFill>
          <a:srgbClr val="70AD47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hr-HR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prioriteti</a:t>
          </a:r>
        </a:p>
      </dgm:t>
    </dgm:pt>
    <dgm:pt modelId="{C427156A-374F-4503-BD04-C15379DE5127}" type="parTrans" cxnId="{B76B3F5B-6B9C-4650-B8B5-D40A39324AA6}">
      <dgm:prSet/>
      <dgm:spPr/>
      <dgm:t>
        <a:bodyPr/>
        <a:lstStyle/>
        <a:p>
          <a:endParaRPr lang="hr-HR"/>
        </a:p>
      </dgm:t>
    </dgm:pt>
    <dgm:pt modelId="{3CB18519-7095-4C3E-95E7-C0E5FF66B1BC}" type="sibTrans" cxnId="{B76B3F5B-6B9C-4650-B8B5-D40A39324AA6}">
      <dgm:prSet/>
      <dgm:spPr>
        <a:xfrm rot="9000000">
          <a:off x="2839804" y="2052098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hr-H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0062FF94-EC3F-479E-BFD9-76AE778F8DDA}" type="pres">
      <dgm:prSet presAssocID="{CECE8365-F32D-4CF3-AFFB-880539C94C1A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E414EE56-2CB9-4587-818A-0E4412203A7A}" type="pres">
      <dgm:prSet presAssocID="{E7936E90-D4BC-47C7-B04C-F8B7DFFDA0C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40C227-A7BA-4FA0-AF1E-BFFFB36B90CE}" type="pres">
      <dgm:prSet presAssocID="{3FCD756E-703B-44C4-8CD4-D947A2874EA7}" presName="sibTrans" presStyleLbl="sibTrans2D1" presStyleIdx="0" presStyleCnt="6"/>
      <dgm:spPr/>
      <dgm:t>
        <a:bodyPr/>
        <a:lstStyle/>
        <a:p>
          <a:endParaRPr lang="hr-HR"/>
        </a:p>
      </dgm:t>
    </dgm:pt>
    <dgm:pt modelId="{F38919F1-F0E8-4C52-B179-C36673348448}" type="pres">
      <dgm:prSet presAssocID="{3FCD756E-703B-44C4-8CD4-D947A2874EA7}" presName="connectorText" presStyleLbl="sibTrans2D1" presStyleIdx="0" presStyleCnt="6"/>
      <dgm:spPr/>
      <dgm:t>
        <a:bodyPr/>
        <a:lstStyle/>
        <a:p>
          <a:endParaRPr lang="hr-HR"/>
        </a:p>
      </dgm:t>
    </dgm:pt>
    <dgm:pt modelId="{B674D388-7D61-407A-9667-65F160C4932E}" type="pres">
      <dgm:prSet presAssocID="{7E3CC1C2-B1AF-4E90-857F-47657613783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4C44CA1-EA09-467E-A0EA-7353088A3B4C}" type="pres">
      <dgm:prSet presAssocID="{AC278EB4-7AF6-43B1-8600-A429CF17574F}" presName="sibTrans" presStyleLbl="sibTrans2D1" presStyleIdx="1" presStyleCnt="6"/>
      <dgm:spPr/>
      <dgm:t>
        <a:bodyPr/>
        <a:lstStyle/>
        <a:p>
          <a:endParaRPr lang="hr-HR"/>
        </a:p>
      </dgm:t>
    </dgm:pt>
    <dgm:pt modelId="{333E1C88-9D28-433E-97FC-51CA721053D2}" type="pres">
      <dgm:prSet presAssocID="{AC278EB4-7AF6-43B1-8600-A429CF17574F}" presName="connectorText" presStyleLbl="sibTrans2D1" presStyleIdx="1" presStyleCnt="6"/>
      <dgm:spPr/>
      <dgm:t>
        <a:bodyPr/>
        <a:lstStyle/>
        <a:p>
          <a:endParaRPr lang="hr-HR"/>
        </a:p>
      </dgm:t>
    </dgm:pt>
    <dgm:pt modelId="{7EE3CAED-0C95-4C37-83A1-12514A443C7C}" type="pres">
      <dgm:prSet presAssocID="{3F20F09D-851B-4E6E-AED6-692EB57A8B8A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F2EBC89-ACA6-4AC9-88B3-119F0453792D}" type="pres">
      <dgm:prSet presAssocID="{3CB18519-7095-4C3E-95E7-C0E5FF66B1BC}" presName="sibTrans" presStyleLbl="sibTrans2D1" presStyleIdx="2" presStyleCnt="6"/>
      <dgm:spPr/>
      <dgm:t>
        <a:bodyPr/>
        <a:lstStyle/>
        <a:p>
          <a:endParaRPr lang="hr-HR"/>
        </a:p>
      </dgm:t>
    </dgm:pt>
    <dgm:pt modelId="{75C77653-CBF7-4282-896D-6A390C92A08F}" type="pres">
      <dgm:prSet presAssocID="{3CB18519-7095-4C3E-95E7-C0E5FF66B1BC}" presName="connectorText" presStyleLbl="sibTrans2D1" presStyleIdx="2" presStyleCnt="6"/>
      <dgm:spPr/>
      <dgm:t>
        <a:bodyPr/>
        <a:lstStyle/>
        <a:p>
          <a:endParaRPr lang="hr-HR"/>
        </a:p>
      </dgm:t>
    </dgm:pt>
    <dgm:pt modelId="{3EB22C53-43E6-4ED8-A620-08B318B639CD}" type="pres">
      <dgm:prSet presAssocID="{04DBE671-7866-4DA2-A16F-44FA1373990D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C418046-1261-4256-BDD4-1EED16AC553B}" type="pres">
      <dgm:prSet presAssocID="{EAC8E4A2-6016-4AFB-8973-0E40BDFBC501}" presName="sibTrans" presStyleLbl="sibTrans2D1" presStyleIdx="3" presStyleCnt="6"/>
      <dgm:spPr/>
      <dgm:t>
        <a:bodyPr/>
        <a:lstStyle/>
        <a:p>
          <a:endParaRPr lang="hr-HR"/>
        </a:p>
      </dgm:t>
    </dgm:pt>
    <dgm:pt modelId="{DBEDAE87-7371-4FCE-86F0-5EBD5F5E2D02}" type="pres">
      <dgm:prSet presAssocID="{EAC8E4A2-6016-4AFB-8973-0E40BDFBC501}" presName="connectorText" presStyleLbl="sibTrans2D1" presStyleIdx="3" presStyleCnt="6"/>
      <dgm:spPr/>
      <dgm:t>
        <a:bodyPr/>
        <a:lstStyle/>
        <a:p>
          <a:endParaRPr lang="hr-HR"/>
        </a:p>
      </dgm:t>
    </dgm:pt>
    <dgm:pt modelId="{3EA6DDA6-9940-400E-ACF8-53597E14F48B}" type="pres">
      <dgm:prSet presAssocID="{88DDF207-25FC-404D-94A4-1006D4E79865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A4BC4A6-1F8E-47C0-9B9B-B3101B707C5A}" type="pres">
      <dgm:prSet presAssocID="{8D71D990-4AB6-4694-93D5-5A53892F0000}" presName="sibTrans" presStyleLbl="sibTrans2D1" presStyleIdx="4" presStyleCnt="6"/>
      <dgm:spPr/>
      <dgm:t>
        <a:bodyPr/>
        <a:lstStyle/>
        <a:p>
          <a:endParaRPr lang="hr-HR"/>
        </a:p>
      </dgm:t>
    </dgm:pt>
    <dgm:pt modelId="{56CBA71D-FA78-49B3-918F-1AD3CC87DD92}" type="pres">
      <dgm:prSet presAssocID="{8D71D990-4AB6-4694-93D5-5A53892F0000}" presName="connectorText" presStyleLbl="sibTrans2D1" presStyleIdx="4" presStyleCnt="6"/>
      <dgm:spPr/>
      <dgm:t>
        <a:bodyPr/>
        <a:lstStyle/>
        <a:p>
          <a:endParaRPr lang="hr-HR"/>
        </a:p>
      </dgm:t>
    </dgm:pt>
    <dgm:pt modelId="{895673C9-1465-4B0D-9428-002544062A77}" type="pres">
      <dgm:prSet presAssocID="{125A2EA4-3AE0-4987-9C6F-0DED55B12B6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8A9A7C3-CCB2-4998-AF02-F6C47AF7CE72}" type="pres">
      <dgm:prSet presAssocID="{F6B28A92-FD2D-43BE-8B6A-A8339B262AEE}" presName="sibTrans" presStyleLbl="sibTrans2D1" presStyleIdx="5" presStyleCnt="6"/>
      <dgm:spPr/>
      <dgm:t>
        <a:bodyPr/>
        <a:lstStyle/>
        <a:p>
          <a:endParaRPr lang="hr-HR"/>
        </a:p>
      </dgm:t>
    </dgm:pt>
    <dgm:pt modelId="{D5184AD8-FD36-496E-8A1F-B0E1D6A8356D}" type="pres">
      <dgm:prSet presAssocID="{F6B28A92-FD2D-43BE-8B6A-A8339B262AEE}" presName="connectorText" presStyleLbl="sibTrans2D1" presStyleIdx="5" presStyleCnt="6"/>
      <dgm:spPr/>
      <dgm:t>
        <a:bodyPr/>
        <a:lstStyle/>
        <a:p>
          <a:endParaRPr lang="hr-HR"/>
        </a:p>
      </dgm:t>
    </dgm:pt>
  </dgm:ptLst>
  <dgm:cxnLst>
    <dgm:cxn modelId="{759E4281-8299-44E0-A1E1-755A156F23C3}" type="presOf" srcId="{F6B28A92-FD2D-43BE-8B6A-A8339B262AEE}" destId="{D5184AD8-FD36-496E-8A1F-B0E1D6A8356D}" srcOrd="1" destOrd="0" presId="urn:microsoft.com/office/officeart/2005/8/layout/cycle2"/>
    <dgm:cxn modelId="{EBBA5725-D0F8-4E10-A695-6AC71FEEC1DD}" type="presOf" srcId="{3CB18519-7095-4C3E-95E7-C0E5FF66B1BC}" destId="{75C77653-CBF7-4282-896D-6A390C92A08F}" srcOrd="1" destOrd="0" presId="urn:microsoft.com/office/officeart/2005/8/layout/cycle2"/>
    <dgm:cxn modelId="{BD337107-FCF7-4889-ADF6-E698CDE7CF51}" type="presOf" srcId="{3F20F09D-851B-4E6E-AED6-692EB57A8B8A}" destId="{7EE3CAED-0C95-4C37-83A1-12514A443C7C}" srcOrd="0" destOrd="0" presId="urn:microsoft.com/office/officeart/2005/8/layout/cycle2"/>
    <dgm:cxn modelId="{4F0B8411-C9CB-4AA0-8B80-D7C09E460966}" type="presOf" srcId="{3FCD756E-703B-44C4-8CD4-D947A2874EA7}" destId="{F38919F1-F0E8-4C52-B179-C36673348448}" srcOrd="1" destOrd="0" presId="urn:microsoft.com/office/officeart/2005/8/layout/cycle2"/>
    <dgm:cxn modelId="{DFA709B6-60AF-48FB-8D71-CB02568FFA10}" type="presOf" srcId="{3FCD756E-703B-44C4-8CD4-D947A2874EA7}" destId="{2440C227-A7BA-4FA0-AF1E-BFFFB36B90CE}" srcOrd="0" destOrd="0" presId="urn:microsoft.com/office/officeart/2005/8/layout/cycle2"/>
    <dgm:cxn modelId="{61D93889-FCEF-498B-931D-5A7F79DBCFD6}" type="presOf" srcId="{8D71D990-4AB6-4694-93D5-5A53892F0000}" destId="{56CBA71D-FA78-49B3-918F-1AD3CC87DD92}" srcOrd="1" destOrd="0" presId="urn:microsoft.com/office/officeart/2005/8/layout/cycle2"/>
    <dgm:cxn modelId="{1BC6CA6B-2270-4426-A941-564CB4DA2016}" srcId="{CECE8365-F32D-4CF3-AFFB-880539C94C1A}" destId="{7E3CC1C2-B1AF-4E90-857F-47657613783A}" srcOrd="1" destOrd="0" parTransId="{58C8A11E-CB72-490F-B8EE-ABDCBE41B064}" sibTransId="{AC278EB4-7AF6-43B1-8600-A429CF17574F}"/>
    <dgm:cxn modelId="{7DEF9B58-696A-4942-88CA-19AC3782888B}" srcId="{CECE8365-F32D-4CF3-AFFB-880539C94C1A}" destId="{E7936E90-D4BC-47C7-B04C-F8B7DFFDA0C3}" srcOrd="0" destOrd="0" parTransId="{F6F312F7-B29A-4514-B5E5-36CB3529507E}" sibTransId="{3FCD756E-703B-44C4-8CD4-D947A2874EA7}"/>
    <dgm:cxn modelId="{0D91C822-C90C-4077-9C57-54D881D4F9AF}" type="presOf" srcId="{EAC8E4A2-6016-4AFB-8973-0E40BDFBC501}" destId="{DBEDAE87-7371-4FCE-86F0-5EBD5F5E2D02}" srcOrd="1" destOrd="0" presId="urn:microsoft.com/office/officeart/2005/8/layout/cycle2"/>
    <dgm:cxn modelId="{B76B3F5B-6B9C-4650-B8B5-D40A39324AA6}" srcId="{CECE8365-F32D-4CF3-AFFB-880539C94C1A}" destId="{3F20F09D-851B-4E6E-AED6-692EB57A8B8A}" srcOrd="2" destOrd="0" parTransId="{C427156A-374F-4503-BD04-C15379DE5127}" sibTransId="{3CB18519-7095-4C3E-95E7-C0E5FF66B1BC}"/>
    <dgm:cxn modelId="{5CEF14DC-1FE9-405C-84F3-5EF3628059AB}" type="presOf" srcId="{CECE8365-F32D-4CF3-AFFB-880539C94C1A}" destId="{0062FF94-EC3F-479E-BFD9-76AE778F8DDA}" srcOrd="0" destOrd="0" presId="urn:microsoft.com/office/officeart/2005/8/layout/cycle2"/>
    <dgm:cxn modelId="{CD04185D-91F9-4E62-9751-6E14637B9A6D}" type="presOf" srcId="{AC278EB4-7AF6-43B1-8600-A429CF17574F}" destId="{24C44CA1-EA09-467E-A0EA-7353088A3B4C}" srcOrd="0" destOrd="0" presId="urn:microsoft.com/office/officeart/2005/8/layout/cycle2"/>
    <dgm:cxn modelId="{64B6A47F-8DB6-4586-B236-07E0CA59167B}" type="presOf" srcId="{3CB18519-7095-4C3E-95E7-C0E5FF66B1BC}" destId="{7F2EBC89-ACA6-4AC9-88B3-119F0453792D}" srcOrd="0" destOrd="0" presId="urn:microsoft.com/office/officeart/2005/8/layout/cycle2"/>
    <dgm:cxn modelId="{C8C45063-C6B2-4A7F-86FF-4C55978739E6}" type="presOf" srcId="{AC278EB4-7AF6-43B1-8600-A429CF17574F}" destId="{333E1C88-9D28-433E-97FC-51CA721053D2}" srcOrd="1" destOrd="0" presId="urn:microsoft.com/office/officeart/2005/8/layout/cycle2"/>
    <dgm:cxn modelId="{DC7C6829-7A48-4A26-8462-54EEE61371D3}" type="presOf" srcId="{125A2EA4-3AE0-4987-9C6F-0DED55B12B68}" destId="{895673C9-1465-4B0D-9428-002544062A77}" srcOrd="0" destOrd="0" presId="urn:microsoft.com/office/officeart/2005/8/layout/cycle2"/>
    <dgm:cxn modelId="{D27930CB-C688-4DE2-B0FB-D6C79D2A5B0C}" srcId="{CECE8365-F32D-4CF3-AFFB-880539C94C1A}" destId="{88DDF207-25FC-404D-94A4-1006D4E79865}" srcOrd="4" destOrd="0" parTransId="{568F97D5-2BF4-48FC-A8C6-4B33F8C7E60B}" sibTransId="{8D71D990-4AB6-4694-93D5-5A53892F0000}"/>
    <dgm:cxn modelId="{433B8EAB-DBE1-46FE-96A6-F47590DBE6BF}" type="presOf" srcId="{E7936E90-D4BC-47C7-B04C-F8B7DFFDA0C3}" destId="{E414EE56-2CB9-4587-818A-0E4412203A7A}" srcOrd="0" destOrd="0" presId="urn:microsoft.com/office/officeart/2005/8/layout/cycle2"/>
    <dgm:cxn modelId="{94A56A70-8BA6-43FF-A35F-C77AFE499A5F}" type="presOf" srcId="{F6B28A92-FD2D-43BE-8B6A-A8339B262AEE}" destId="{68A9A7C3-CCB2-4998-AF02-F6C47AF7CE72}" srcOrd="0" destOrd="0" presId="urn:microsoft.com/office/officeart/2005/8/layout/cycle2"/>
    <dgm:cxn modelId="{4D1F827A-CB56-42C2-AF2A-0E2F050AC17B}" type="presOf" srcId="{EAC8E4A2-6016-4AFB-8973-0E40BDFBC501}" destId="{0C418046-1261-4256-BDD4-1EED16AC553B}" srcOrd="0" destOrd="0" presId="urn:microsoft.com/office/officeart/2005/8/layout/cycle2"/>
    <dgm:cxn modelId="{2E449D0C-6954-436A-8502-97DB1950BAE0}" type="presOf" srcId="{88DDF207-25FC-404D-94A4-1006D4E79865}" destId="{3EA6DDA6-9940-400E-ACF8-53597E14F48B}" srcOrd="0" destOrd="0" presId="urn:microsoft.com/office/officeart/2005/8/layout/cycle2"/>
    <dgm:cxn modelId="{04166E88-C04B-4D4C-83AA-1E01768B3582}" srcId="{CECE8365-F32D-4CF3-AFFB-880539C94C1A}" destId="{04DBE671-7866-4DA2-A16F-44FA1373990D}" srcOrd="3" destOrd="0" parTransId="{AA7CE6FF-9291-4DB5-A00B-C35F8410CD5F}" sibTransId="{EAC8E4A2-6016-4AFB-8973-0E40BDFBC501}"/>
    <dgm:cxn modelId="{798F7A8C-01CC-45E1-82E4-ED4508848D41}" type="presOf" srcId="{04DBE671-7866-4DA2-A16F-44FA1373990D}" destId="{3EB22C53-43E6-4ED8-A620-08B318B639CD}" srcOrd="0" destOrd="0" presId="urn:microsoft.com/office/officeart/2005/8/layout/cycle2"/>
    <dgm:cxn modelId="{0429015B-271B-49E8-8D7F-58E840A16C2E}" type="presOf" srcId="{7E3CC1C2-B1AF-4E90-857F-47657613783A}" destId="{B674D388-7D61-407A-9667-65F160C4932E}" srcOrd="0" destOrd="0" presId="urn:microsoft.com/office/officeart/2005/8/layout/cycle2"/>
    <dgm:cxn modelId="{6C0EA172-F6DD-4AC1-93AC-B0D9C512B969}" type="presOf" srcId="{8D71D990-4AB6-4694-93D5-5A53892F0000}" destId="{AA4BC4A6-1F8E-47C0-9B9B-B3101B707C5A}" srcOrd="0" destOrd="0" presId="urn:microsoft.com/office/officeart/2005/8/layout/cycle2"/>
    <dgm:cxn modelId="{6BD7B9F5-845C-481C-8497-8EDB482CF235}" srcId="{CECE8365-F32D-4CF3-AFFB-880539C94C1A}" destId="{125A2EA4-3AE0-4987-9C6F-0DED55B12B68}" srcOrd="5" destOrd="0" parTransId="{9B3277AD-2039-482A-BE3D-AA6EB214E130}" sibTransId="{F6B28A92-FD2D-43BE-8B6A-A8339B262AEE}"/>
    <dgm:cxn modelId="{393A46D6-C19D-4FE9-8DF9-7ED6D5EAAF8A}" type="presParOf" srcId="{0062FF94-EC3F-479E-BFD9-76AE778F8DDA}" destId="{E414EE56-2CB9-4587-818A-0E4412203A7A}" srcOrd="0" destOrd="0" presId="urn:microsoft.com/office/officeart/2005/8/layout/cycle2"/>
    <dgm:cxn modelId="{8662FCCB-EC2E-4B15-814A-EA515844463E}" type="presParOf" srcId="{0062FF94-EC3F-479E-BFD9-76AE778F8DDA}" destId="{2440C227-A7BA-4FA0-AF1E-BFFFB36B90CE}" srcOrd="1" destOrd="0" presId="urn:microsoft.com/office/officeart/2005/8/layout/cycle2"/>
    <dgm:cxn modelId="{197B2681-8E21-4BC3-A648-7232FFE29318}" type="presParOf" srcId="{2440C227-A7BA-4FA0-AF1E-BFFFB36B90CE}" destId="{F38919F1-F0E8-4C52-B179-C36673348448}" srcOrd="0" destOrd="0" presId="urn:microsoft.com/office/officeart/2005/8/layout/cycle2"/>
    <dgm:cxn modelId="{D11ED666-F6AA-40A5-A697-4CABE3B21FF6}" type="presParOf" srcId="{0062FF94-EC3F-479E-BFD9-76AE778F8DDA}" destId="{B674D388-7D61-407A-9667-65F160C4932E}" srcOrd="2" destOrd="0" presId="urn:microsoft.com/office/officeart/2005/8/layout/cycle2"/>
    <dgm:cxn modelId="{7A5E174C-9DCF-4319-BC7D-B46C2178E487}" type="presParOf" srcId="{0062FF94-EC3F-479E-BFD9-76AE778F8DDA}" destId="{24C44CA1-EA09-467E-A0EA-7353088A3B4C}" srcOrd="3" destOrd="0" presId="urn:microsoft.com/office/officeart/2005/8/layout/cycle2"/>
    <dgm:cxn modelId="{9B3F853A-DBEA-4E19-8EEC-1281E38B3910}" type="presParOf" srcId="{24C44CA1-EA09-467E-A0EA-7353088A3B4C}" destId="{333E1C88-9D28-433E-97FC-51CA721053D2}" srcOrd="0" destOrd="0" presId="urn:microsoft.com/office/officeart/2005/8/layout/cycle2"/>
    <dgm:cxn modelId="{C5C16989-F682-40A4-8728-9D8324FEDB62}" type="presParOf" srcId="{0062FF94-EC3F-479E-BFD9-76AE778F8DDA}" destId="{7EE3CAED-0C95-4C37-83A1-12514A443C7C}" srcOrd="4" destOrd="0" presId="urn:microsoft.com/office/officeart/2005/8/layout/cycle2"/>
    <dgm:cxn modelId="{EB69C3CE-9B88-43BC-9F77-06DBF07FE5DA}" type="presParOf" srcId="{0062FF94-EC3F-479E-BFD9-76AE778F8DDA}" destId="{7F2EBC89-ACA6-4AC9-88B3-119F0453792D}" srcOrd="5" destOrd="0" presId="urn:microsoft.com/office/officeart/2005/8/layout/cycle2"/>
    <dgm:cxn modelId="{7EE634E4-EBBE-4B20-AF05-59C129E5DBA6}" type="presParOf" srcId="{7F2EBC89-ACA6-4AC9-88B3-119F0453792D}" destId="{75C77653-CBF7-4282-896D-6A390C92A08F}" srcOrd="0" destOrd="0" presId="urn:microsoft.com/office/officeart/2005/8/layout/cycle2"/>
    <dgm:cxn modelId="{ECCA929A-9447-4A8E-B78B-C1ED127C95B2}" type="presParOf" srcId="{0062FF94-EC3F-479E-BFD9-76AE778F8DDA}" destId="{3EB22C53-43E6-4ED8-A620-08B318B639CD}" srcOrd="6" destOrd="0" presId="urn:microsoft.com/office/officeart/2005/8/layout/cycle2"/>
    <dgm:cxn modelId="{346A83EF-04E6-4830-8A05-8E638677FBC1}" type="presParOf" srcId="{0062FF94-EC3F-479E-BFD9-76AE778F8DDA}" destId="{0C418046-1261-4256-BDD4-1EED16AC553B}" srcOrd="7" destOrd="0" presId="urn:microsoft.com/office/officeart/2005/8/layout/cycle2"/>
    <dgm:cxn modelId="{A4C96F14-A69D-40FB-B254-A11434FE35A1}" type="presParOf" srcId="{0C418046-1261-4256-BDD4-1EED16AC553B}" destId="{DBEDAE87-7371-4FCE-86F0-5EBD5F5E2D02}" srcOrd="0" destOrd="0" presId="urn:microsoft.com/office/officeart/2005/8/layout/cycle2"/>
    <dgm:cxn modelId="{6C7092DC-47B9-4A8F-98E2-0D061BF0F3AD}" type="presParOf" srcId="{0062FF94-EC3F-479E-BFD9-76AE778F8DDA}" destId="{3EA6DDA6-9940-400E-ACF8-53597E14F48B}" srcOrd="8" destOrd="0" presId="urn:microsoft.com/office/officeart/2005/8/layout/cycle2"/>
    <dgm:cxn modelId="{9E8C0863-6E39-4E55-AA8C-A3E34760F794}" type="presParOf" srcId="{0062FF94-EC3F-479E-BFD9-76AE778F8DDA}" destId="{AA4BC4A6-1F8E-47C0-9B9B-B3101B707C5A}" srcOrd="9" destOrd="0" presId="urn:microsoft.com/office/officeart/2005/8/layout/cycle2"/>
    <dgm:cxn modelId="{4BEA2688-38CD-463C-B54E-AAFFA937BA5D}" type="presParOf" srcId="{AA4BC4A6-1F8E-47C0-9B9B-B3101B707C5A}" destId="{56CBA71D-FA78-49B3-918F-1AD3CC87DD92}" srcOrd="0" destOrd="0" presId="urn:microsoft.com/office/officeart/2005/8/layout/cycle2"/>
    <dgm:cxn modelId="{D69549D8-AA89-4F6E-9C99-9D5CD7E2E1DC}" type="presParOf" srcId="{0062FF94-EC3F-479E-BFD9-76AE778F8DDA}" destId="{895673C9-1465-4B0D-9428-002544062A77}" srcOrd="10" destOrd="0" presId="urn:microsoft.com/office/officeart/2005/8/layout/cycle2"/>
    <dgm:cxn modelId="{CF9C10C5-E504-4D0C-928E-29DBF695E28B}" type="presParOf" srcId="{0062FF94-EC3F-479E-BFD9-76AE778F8DDA}" destId="{68A9A7C3-CCB2-4998-AF02-F6C47AF7CE72}" srcOrd="11" destOrd="0" presId="urn:microsoft.com/office/officeart/2005/8/layout/cycle2"/>
    <dgm:cxn modelId="{444B27D5-C9F5-42DF-B32F-127F575FEAA8}" type="presParOf" srcId="{68A9A7C3-CCB2-4998-AF02-F6C47AF7CE72}" destId="{D5184AD8-FD36-496E-8A1F-B0E1D6A8356D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14EE56-2CB9-4587-818A-0E4412203A7A}">
      <dsp:nvSpPr>
        <dsp:cNvPr id="0" name=""/>
        <dsp:cNvSpPr/>
      </dsp:nvSpPr>
      <dsp:spPr>
        <a:xfrm>
          <a:off x="2129189" y="295"/>
          <a:ext cx="694011" cy="694011"/>
        </a:xfrm>
        <a:prstGeom prst="ellipse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identifikacija</a:t>
          </a:r>
        </a:p>
      </dsp:txBody>
      <dsp:txXfrm>
        <a:off x="2230825" y="101931"/>
        <a:ext cx="490739" cy="490739"/>
      </dsp:txXfrm>
    </dsp:sp>
    <dsp:sp modelId="{2440C227-A7BA-4FA0-AF1E-BFFFB36B90CE}">
      <dsp:nvSpPr>
        <dsp:cNvPr id="0" name=""/>
        <dsp:cNvSpPr/>
      </dsp:nvSpPr>
      <dsp:spPr>
        <a:xfrm rot="1800000">
          <a:off x="2830748" y="488219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834461" y="521209"/>
        <a:ext cx="129321" cy="140536"/>
      </dsp:txXfrm>
    </dsp:sp>
    <dsp:sp modelId="{B674D388-7D61-407A-9667-65F160C4932E}">
      <dsp:nvSpPr>
        <dsp:cNvPr id="0" name=""/>
        <dsp:cNvSpPr/>
      </dsp:nvSpPr>
      <dsp:spPr>
        <a:xfrm>
          <a:off x="3032095" y="521589"/>
          <a:ext cx="694011" cy="694011"/>
        </a:xfrm>
        <a:prstGeom prst="ellipse">
          <a:avLst/>
        </a:prstGeom>
        <a:solidFill>
          <a:srgbClr val="FFC000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analiza</a:t>
          </a:r>
        </a:p>
      </dsp:txBody>
      <dsp:txXfrm>
        <a:off x="3133731" y="623225"/>
        <a:ext cx="490739" cy="490739"/>
      </dsp:txXfrm>
    </dsp:sp>
    <dsp:sp modelId="{24C44CA1-EA09-467E-A0EA-7353088A3B4C}">
      <dsp:nvSpPr>
        <dsp:cNvPr id="0" name=""/>
        <dsp:cNvSpPr/>
      </dsp:nvSpPr>
      <dsp:spPr>
        <a:xfrm rot="5400000">
          <a:off x="3286729" y="1267544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314441" y="1286679"/>
        <a:ext cx="129321" cy="140536"/>
      </dsp:txXfrm>
    </dsp:sp>
    <dsp:sp modelId="{7EE3CAED-0C95-4C37-83A1-12514A443C7C}">
      <dsp:nvSpPr>
        <dsp:cNvPr id="0" name=""/>
        <dsp:cNvSpPr/>
      </dsp:nvSpPr>
      <dsp:spPr>
        <a:xfrm>
          <a:off x="3032095" y="1564175"/>
          <a:ext cx="694011" cy="694011"/>
        </a:xfrm>
        <a:prstGeom prst="ellipse">
          <a:avLst/>
        </a:prstGeom>
        <a:solidFill>
          <a:srgbClr val="70AD47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prioriteti</a:t>
          </a:r>
        </a:p>
      </dsp:txBody>
      <dsp:txXfrm>
        <a:off x="3133731" y="1665811"/>
        <a:ext cx="490739" cy="490739"/>
      </dsp:txXfrm>
    </dsp:sp>
    <dsp:sp modelId="{7F2EBC89-ACA6-4AC9-88B3-119F0453792D}">
      <dsp:nvSpPr>
        <dsp:cNvPr id="0" name=""/>
        <dsp:cNvSpPr/>
      </dsp:nvSpPr>
      <dsp:spPr>
        <a:xfrm rot="9000000">
          <a:off x="2839804" y="2052098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2891514" y="2085088"/>
        <a:ext cx="129321" cy="140536"/>
      </dsp:txXfrm>
    </dsp:sp>
    <dsp:sp modelId="{3EB22C53-43E6-4ED8-A620-08B318B639CD}">
      <dsp:nvSpPr>
        <dsp:cNvPr id="0" name=""/>
        <dsp:cNvSpPr/>
      </dsp:nvSpPr>
      <dsp:spPr>
        <a:xfrm>
          <a:off x="2129189" y="2085468"/>
          <a:ext cx="694011" cy="694011"/>
        </a:xfrm>
        <a:prstGeom prst="ellipse">
          <a:avLst/>
        </a:prstGeom>
        <a:solidFill>
          <a:srgbClr val="4472C4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planiranje mjera</a:t>
          </a:r>
        </a:p>
      </dsp:txBody>
      <dsp:txXfrm>
        <a:off x="2230825" y="2187104"/>
        <a:ext cx="490739" cy="490739"/>
      </dsp:txXfrm>
    </dsp:sp>
    <dsp:sp modelId="{0C418046-1261-4256-BDD4-1EED16AC553B}">
      <dsp:nvSpPr>
        <dsp:cNvPr id="0" name=""/>
        <dsp:cNvSpPr/>
      </dsp:nvSpPr>
      <dsp:spPr>
        <a:xfrm rot="12600000">
          <a:off x="1936898" y="2057327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988608" y="2118029"/>
        <a:ext cx="129321" cy="140536"/>
      </dsp:txXfrm>
    </dsp:sp>
    <dsp:sp modelId="{3EA6DDA6-9940-400E-ACF8-53597E14F48B}">
      <dsp:nvSpPr>
        <dsp:cNvPr id="0" name=""/>
        <dsp:cNvSpPr/>
      </dsp:nvSpPr>
      <dsp:spPr>
        <a:xfrm>
          <a:off x="1226283" y="1564175"/>
          <a:ext cx="694011" cy="694011"/>
        </a:xfrm>
        <a:prstGeom prst="ellipse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provedba mjera </a:t>
          </a:r>
        </a:p>
      </dsp:txBody>
      <dsp:txXfrm>
        <a:off x="1327919" y="1665811"/>
        <a:ext cx="490739" cy="490739"/>
      </dsp:txXfrm>
    </dsp:sp>
    <dsp:sp modelId="{AA4BC4A6-1F8E-47C0-9B9B-B3101B707C5A}">
      <dsp:nvSpPr>
        <dsp:cNvPr id="0" name=""/>
        <dsp:cNvSpPr/>
      </dsp:nvSpPr>
      <dsp:spPr>
        <a:xfrm rot="16200000">
          <a:off x="1480917" y="1278002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508629" y="1352560"/>
        <a:ext cx="129321" cy="140536"/>
      </dsp:txXfrm>
    </dsp:sp>
    <dsp:sp modelId="{895673C9-1465-4B0D-9428-002544062A77}">
      <dsp:nvSpPr>
        <dsp:cNvPr id="0" name=""/>
        <dsp:cNvSpPr/>
      </dsp:nvSpPr>
      <dsp:spPr>
        <a:xfrm>
          <a:off x="1226283" y="521589"/>
          <a:ext cx="694011" cy="694011"/>
        </a:xfrm>
        <a:prstGeom prst="ellipse">
          <a:avLst/>
        </a:prstGeom>
        <a:solidFill>
          <a:srgbClr val="ED7D31">
            <a:lumMod val="75000"/>
          </a:srgb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kontrola provedbe</a:t>
          </a:r>
        </a:p>
      </dsp:txBody>
      <dsp:txXfrm>
        <a:off x="1327919" y="623225"/>
        <a:ext cx="490739" cy="490739"/>
      </dsp:txXfrm>
    </dsp:sp>
    <dsp:sp modelId="{68A9A7C3-CCB2-4998-AF02-F6C47AF7CE72}">
      <dsp:nvSpPr>
        <dsp:cNvPr id="0" name=""/>
        <dsp:cNvSpPr/>
      </dsp:nvSpPr>
      <dsp:spPr>
        <a:xfrm rot="19800000">
          <a:off x="1927842" y="493448"/>
          <a:ext cx="184744" cy="23422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FFC000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solidFill>
            <a:srgbClr val="ED7D31">
              <a:lumMod val="75000"/>
            </a:srgbClr>
          </a:solidFill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931555" y="554150"/>
        <a:ext cx="129321" cy="140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Budimir Bojana</dc:creator>
  <cp:keywords/>
  <dc:description/>
  <cp:lastModifiedBy>Budimir Bojana</cp:lastModifiedBy>
  <cp:revision>3</cp:revision>
  <dcterms:created xsi:type="dcterms:W3CDTF">2019-01-21T11:24:00Z</dcterms:created>
  <dcterms:modified xsi:type="dcterms:W3CDTF">2019-01-21T15:36:00Z</dcterms:modified>
</cp:coreProperties>
</file>